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spacing w:beforeLines="0" w:afterLines="0"/>
        <w:jc w:val="center"/>
        <w:rPr>
          <w:rFonts w:hint="default" w:ascii="Times New Roman" w:hAnsi="Times New Roman" w:eastAsia="黑体" w:cs="Times New Roman"/>
          <w:color w:val="000000"/>
          <w:sz w:val="44"/>
          <w:shd w:val="clear" w:color="auto" w:fill="FFFFFF"/>
        </w:rPr>
      </w:pPr>
    </w:p>
    <w:p>
      <w:pPr>
        <w:widowControl w:val="0"/>
        <w:spacing w:beforeLines="0" w:afterLines="0"/>
        <w:jc w:val="center"/>
        <w:rPr>
          <w:rFonts w:hint="default" w:ascii="Times New Roman" w:hAnsi="Times New Roman" w:eastAsia="黑体" w:cs="Times New Roman"/>
          <w:color w:val="000000"/>
          <w:sz w:val="44"/>
          <w:shd w:val="clear" w:color="auto" w:fill="FFFFFF"/>
        </w:rPr>
      </w:pPr>
    </w:p>
    <w:p>
      <w:pPr>
        <w:widowControl w:val="0"/>
        <w:spacing w:beforeLines="0" w:afterLines="0"/>
        <w:jc w:val="center"/>
        <w:rPr>
          <w:rFonts w:hint="default" w:ascii="Times New Roman" w:hAnsi="Times New Roman" w:eastAsia="黑体" w:cs="Times New Roman"/>
          <w:color w:val="000000"/>
          <w:sz w:val="44"/>
          <w:shd w:val="clear" w:color="auto" w:fill="FFFFFF"/>
        </w:rPr>
      </w:pPr>
    </w:p>
    <w:p>
      <w:pPr>
        <w:widowControl w:val="0"/>
        <w:spacing w:beforeLines="0" w:afterLines="0"/>
        <w:jc w:val="center"/>
        <w:rPr>
          <w:rFonts w:hint="default" w:ascii="Times New Roman" w:hAnsi="Times New Roman" w:eastAsia="黑体" w:cs="Times New Roman"/>
          <w:color w:val="000000"/>
          <w:sz w:val="44"/>
          <w:shd w:val="clear" w:color="auto" w:fill="FFFFFF"/>
        </w:rPr>
      </w:pPr>
    </w:p>
    <w:p>
      <w:pPr>
        <w:widowControl w:val="0"/>
        <w:spacing w:beforeLines="0" w:afterLines="0"/>
        <w:jc w:val="center"/>
        <w:rPr>
          <w:rFonts w:hint="default" w:ascii="Times New Roman" w:hAnsi="Times New Roman" w:eastAsia="黑体" w:cs="Times New Roman"/>
          <w:color w:val="000000"/>
          <w:sz w:val="44"/>
          <w:shd w:val="clear" w:color="auto" w:fill="FFFFFF"/>
        </w:rPr>
      </w:pPr>
    </w:p>
    <w:p>
      <w:pPr>
        <w:widowControl w:val="0"/>
        <w:spacing w:beforeLines="0" w:afterLines="0"/>
        <w:jc w:val="center"/>
        <w:rPr>
          <w:rFonts w:hint="default" w:ascii="Times New Roman" w:hAnsi="Times New Roman" w:eastAsia="黑体" w:cs="Times New Roman"/>
          <w:color w:val="000000"/>
          <w:sz w:val="44"/>
          <w:shd w:val="clear" w:color="auto" w:fill="FFFFFF"/>
        </w:rPr>
      </w:pPr>
    </w:p>
    <w:p>
      <w:pPr>
        <w:pStyle w:val="15"/>
        <w:spacing w:beforeLines="0" w:afterLines="0" w:line="580" w:lineRule="exact"/>
        <w:jc w:val="center"/>
        <w:rPr>
          <w:rFonts w:hint="default" w:ascii="Times New Roman" w:hAnsi="Times New Roman" w:eastAsia="仿宋_GB2312" w:cs="Times New Roman"/>
          <w:sz w:val="32"/>
        </w:rPr>
      </w:pPr>
      <w:r>
        <w:rPr>
          <w:rFonts w:hint="default" w:ascii="Times New Roman" w:hAnsi="Times New Roman" w:eastAsia="仿宋_GB2312" w:cs="Times New Roman"/>
          <w:sz w:val="32"/>
        </w:rPr>
        <w:t>辽就</w:t>
      </w:r>
      <w:r>
        <w:rPr>
          <w:rFonts w:hint="default" w:ascii="Times New Roman" w:hAnsi="Times New Roman" w:cs="Times New Roman"/>
          <w:sz w:val="32"/>
        </w:rPr>
        <w:t>﹝</w:t>
      </w:r>
      <w:r>
        <w:rPr>
          <w:rFonts w:hint="default" w:ascii="Times New Roman" w:hAnsi="Times New Roman" w:eastAsia="仿宋_GB2312" w:cs="Times New Roman"/>
          <w:sz w:val="32"/>
        </w:rPr>
        <w:t>2020</w:t>
      </w:r>
      <w:r>
        <w:rPr>
          <w:rFonts w:hint="default" w:ascii="Times New Roman" w:hAnsi="Times New Roman" w:cs="Times New Roman"/>
          <w:sz w:val="32"/>
        </w:rPr>
        <w:t>﹞</w:t>
      </w:r>
      <w:r>
        <w:rPr>
          <w:rFonts w:hint="eastAsia" w:cs="Times New Roman"/>
          <w:sz w:val="32"/>
          <w:lang w:val="en-US" w:eastAsia="zh-CN"/>
        </w:rPr>
        <w:t>61</w:t>
      </w:r>
      <w:r>
        <w:rPr>
          <w:rFonts w:hint="default" w:ascii="Times New Roman" w:hAnsi="Times New Roman" w:eastAsia="仿宋_GB2312" w:cs="Times New Roman"/>
          <w:sz w:val="32"/>
        </w:rPr>
        <w:t>号</w:t>
      </w:r>
    </w:p>
    <w:p>
      <w:pPr>
        <w:widowControl w:val="0"/>
        <w:spacing w:beforeLines="0" w:afterLines="0"/>
        <w:jc w:val="center"/>
        <w:rPr>
          <w:rFonts w:hint="default" w:ascii="Times New Roman" w:hAnsi="Times New Roman" w:eastAsia="Times New Roman" w:cs="Times New Roman"/>
          <w:b/>
          <w:sz w:val="44"/>
        </w:rPr>
      </w:pPr>
    </w:p>
    <w:p>
      <w:pPr>
        <w:jc w:val="center"/>
        <w:rPr>
          <w:rFonts w:ascii="宋体" w:hAnsi="宋体" w:eastAsia="宋体"/>
          <w:b/>
          <w:bCs/>
          <w:sz w:val="44"/>
          <w:szCs w:val="44"/>
        </w:rPr>
      </w:pPr>
      <w:r>
        <w:rPr>
          <w:rFonts w:hint="eastAsia" w:ascii="宋体" w:hAnsi="宋体" w:eastAsia="宋体"/>
          <w:b/>
          <w:bCs/>
          <w:sz w:val="44"/>
          <w:szCs w:val="44"/>
        </w:rPr>
        <w:t>关于做好2</w:t>
      </w:r>
      <w:r>
        <w:rPr>
          <w:rFonts w:ascii="宋体" w:hAnsi="宋体" w:eastAsia="宋体"/>
          <w:b/>
          <w:bCs/>
          <w:sz w:val="44"/>
          <w:szCs w:val="44"/>
        </w:rPr>
        <w:t>020</w:t>
      </w:r>
      <w:r>
        <w:rPr>
          <w:rFonts w:hint="eastAsia" w:ascii="宋体" w:hAnsi="宋体" w:eastAsia="宋体"/>
          <w:b/>
          <w:bCs/>
          <w:sz w:val="44"/>
          <w:szCs w:val="44"/>
        </w:rPr>
        <w:t>年国家职业资格全省</w:t>
      </w:r>
    </w:p>
    <w:p>
      <w:pPr>
        <w:jc w:val="center"/>
        <w:rPr>
          <w:rFonts w:ascii="宋体" w:hAnsi="宋体" w:eastAsia="宋体"/>
          <w:b/>
          <w:bCs/>
          <w:sz w:val="36"/>
          <w:szCs w:val="36"/>
        </w:rPr>
      </w:pPr>
      <w:r>
        <w:rPr>
          <w:rFonts w:hint="eastAsia" w:ascii="宋体" w:hAnsi="宋体" w:eastAsia="宋体"/>
          <w:b/>
          <w:bCs/>
          <w:sz w:val="44"/>
          <w:szCs w:val="44"/>
        </w:rPr>
        <w:t>统一鉴定工作的通知</w:t>
      </w:r>
    </w:p>
    <w:p>
      <w:pPr>
        <w:jc w:val="center"/>
        <w:rPr>
          <w:rFonts w:ascii="宋体" w:hAnsi="宋体" w:eastAsia="宋体"/>
          <w:b/>
          <w:bCs/>
          <w:sz w:val="24"/>
          <w:szCs w:val="24"/>
        </w:rPr>
      </w:pPr>
    </w:p>
    <w:p>
      <w:pPr>
        <w:widowControl w:val="0"/>
        <w:wordWrap/>
        <w:adjustRightInd/>
        <w:snapToGrid/>
        <w:spacing w:line="580" w:lineRule="exact"/>
        <w:ind w:right="0"/>
        <w:jc w:val="center"/>
        <w:textAlignment w:val="auto"/>
        <w:outlineLvl w:val="9"/>
        <w:rPr>
          <w:rFonts w:ascii="宋体" w:hAnsi="宋体" w:eastAsia="宋体"/>
          <w:b/>
          <w:bCs/>
          <w:sz w:val="24"/>
          <w:szCs w:val="24"/>
        </w:rPr>
      </w:pPr>
    </w:p>
    <w:p>
      <w:pPr>
        <w:widowControl w:val="0"/>
        <w:wordWrap/>
        <w:adjustRightInd/>
        <w:snapToGrid/>
        <w:spacing w:line="580" w:lineRule="exact"/>
        <w:ind w:right="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各市职业技能鉴定管理部门，省直各有关单位：</w:t>
      </w:r>
    </w:p>
    <w:p>
      <w:pPr>
        <w:widowControl w:val="0"/>
        <w:wordWrap/>
        <w:adjustRightInd/>
        <w:snapToGrid/>
        <w:spacing w:line="580" w:lineRule="exact"/>
        <w:ind w:right="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人力资源社会保障办公厅《关于切实做好新型冠状病毒感染肺炎疫情防控期间技能人才评价有关工作的通知》（人社厅函〔2020〕22号）精神，结合我省新型冠状病毒感染肺炎疫情防控情况，现就统筹做好我省2020年国家职业资格全省统一鉴定工作的有关安排通知如下。</w:t>
      </w:r>
    </w:p>
    <w:p>
      <w:pPr>
        <w:pStyle w:val="9"/>
        <w:widowControl w:val="0"/>
        <w:numPr>
          <w:ilvl w:val="0"/>
          <w:numId w:val="1"/>
        </w:numPr>
        <w:wordWrap/>
        <w:adjustRightInd/>
        <w:snapToGrid/>
        <w:spacing w:line="580" w:lineRule="exact"/>
        <w:ind w:right="0" w:firstLineChars="0"/>
        <w:textAlignment w:val="auto"/>
        <w:outlineLvl w:val="9"/>
        <w:rPr>
          <w:rFonts w:hint="eastAsia" w:ascii="黑体" w:hAnsi="黑体" w:eastAsia="黑体" w:cs="黑体"/>
          <w:sz w:val="32"/>
          <w:szCs w:val="32"/>
        </w:rPr>
      </w:pPr>
      <w:r>
        <w:rPr>
          <w:rFonts w:hint="eastAsia" w:ascii="黑体" w:hAnsi="黑体" w:eastAsia="黑体" w:cs="黑体"/>
          <w:sz w:val="32"/>
          <w:szCs w:val="32"/>
        </w:rPr>
        <w:t>鉴定范围</w:t>
      </w:r>
    </w:p>
    <w:p>
      <w:pPr>
        <w:pStyle w:val="9"/>
        <w:widowControl w:val="0"/>
        <w:wordWrap/>
        <w:adjustRightInd/>
        <w:snapToGrid/>
        <w:spacing w:line="580" w:lineRule="exact"/>
        <w:ind w:right="0" w:firstLine="64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全省统一鉴定职业为：企业人力资源管理师、育婴员、劳动关系协调员。</w:t>
      </w:r>
    </w:p>
    <w:p>
      <w:pPr>
        <w:pStyle w:val="9"/>
        <w:widowControl w:val="0"/>
        <w:numPr>
          <w:numId w:val="0"/>
        </w:numPr>
        <w:wordWrap/>
        <w:adjustRightInd/>
        <w:snapToGrid/>
        <w:spacing w:line="580" w:lineRule="exact"/>
        <w:ind w:right="0"/>
        <w:textAlignment w:val="auto"/>
        <w:outlineLvl w:val="9"/>
        <w:rPr>
          <w:rFonts w:ascii="仿宋" w:hAnsi="仿宋" w:eastAsia="仿宋"/>
          <w:sz w:val="32"/>
          <w:szCs w:val="32"/>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二、</w:t>
      </w:r>
      <w:r>
        <w:rPr>
          <w:rFonts w:hint="eastAsia" w:ascii="黑体" w:hAnsi="黑体" w:eastAsia="黑体" w:cs="黑体"/>
          <w:sz w:val="32"/>
          <w:szCs w:val="32"/>
        </w:rPr>
        <w:t>鉴定形式</w:t>
      </w:r>
    </w:p>
    <w:p>
      <w:pPr>
        <w:pStyle w:val="9"/>
        <w:widowControl w:val="0"/>
        <w:wordWrap/>
        <w:adjustRightInd/>
        <w:snapToGrid/>
        <w:spacing w:line="580" w:lineRule="exact"/>
        <w:ind w:right="0" w:firstLine="64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企业人力资源管理师、育婴员、劳动关系协调员采用云考试和云监考系统，实现非接触式远程在线考试（劳动关系协调员2级综合评审以论文形式提交）。</w:t>
      </w:r>
    </w:p>
    <w:p>
      <w:pPr>
        <w:pStyle w:val="9"/>
        <w:widowControl w:val="0"/>
        <w:numPr>
          <w:ilvl w:val="0"/>
          <w:numId w:val="1"/>
        </w:numPr>
        <w:wordWrap/>
        <w:adjustRightInd/>
        <w:snapToGrid/>
        <w:spacing w:line="580" w:lineRule="exact"/>
        <w:ind w:right="0" w:firstLineChars="0"/>
        <w:textAlignment w:val="auto"/>
        <w:outlineLvl w:val="9"/>
        <w:rPr>
          <w:rFonts w:hint="eastAsia" w:ascii="黑体" w:hAnsi="黑体" w:eastAsia="黑体" w:cs="黑体"/>
          <w:sz w:val="32"/>
          <w:szCs w:val="32"/>
        </w:rPr>
      </w:pPr>
      <w:r>
        <w:rPr>
          <w:rFonts w:hint="eastAsia" w:ascii="黑体" w:hAnsi="黑体" w:eastAsia="黑体" w:cs="黑体"/>
          <w:sz w:val="32"/>
          <w:szCs w:val="32"/>
        </w:rPr>
        <w:t>鉴定时间</w:t>
      </w:r>
    </w:p>
    <w:p>
      <w:pPr>
        <w:pStyle w:val="9"/>
        <w:widowControl w:val="0"/>
        <w:wordWrap/>
        <w:adjustRightInd/>
        <w:snapToGrid/>
        <w:spacing w:line="580" w:lineRule="exact"/>
        <w:ind w:right="0" w:firstLine="64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（一）坚持统一鉴定日（以下简称“统考日”）制度。“统考日”为9月26、27日。</w:t>
      </w:r>
    </w:p>
    <w:p>
      <w:pPr>
        <w:pStyle w:val="9"/>
        <w:widowControl w:val="0"/>
        <w:wordWrap/>
        <w:adjustRightInd/>
        <w:snapToGrid/>
        <w:spacing w:line="580" w:lineRule="exact"/>
        <w:ind w:left="-2" w:right="0" w:firstLine="64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（二）全省统一鉴定具体时间，职业等级和考核形式详见（附件1、2）。</w:t>
      </w:r>
    </w:p>
    <w:p>
      <w:pPr>
        <w:pStyle w:val="9"/>
        <w:widowControl w:val="0"/>
        <w:wordWrap/>
        <w:adjustRightInd/>
        <w:snapToGrid/>
        <w:spacing w:line="580" w:lineRule="exact"/>
        <w:ind w:left="-2" w:right="0" w:firstLine="64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（三）各地区及相关单位要按照统一部署和要求，在规定日期组织实施全省统一鉴定工作。</w:t>
      </w:r>
    </w:p>
    <w:p>
      <w:pPr>
        <w:pStyle w:val="9"/>
        <w:widowControl w:val="0"/>
        <w:numPr>
          <w:numId w:val="0"/>
        </w:numPr>
        <w:wordWrap/>
        <w:adjustRightInd/>
        <w:snapToGrid/>
        <w:spacing w:line="580" w:lineRule="exact"/>
        <w:ind w:right="0"/>
        <w:textAlignment w:val="auto"/>
        <w:outlineLvl w:val="9"/>
        <w:rPr>
          <w:rFonts w:ascii="仿宋" w:hAnsi="仿宋" w:eastAsia="仿宋"/>
          <w:sz w:val="32"/>
          <w:szCs w:val="32"/>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四、</w:t>
      </w:r>
      <w:r>
        <w:rPr>
          <w:rFonts w:hint="eastAsia" w:ascii="黑体" w:hAnsi="黑体" w:eastAsia="黑体" w:cs="黑体"/>
          <w:sz w:val="32"/>
          <w:szCs w:val="32"/>
        </w:rPr>
        <w:t>加强全省统一鉴定规范管理</w:t>
      </w:r>
    </w:p>
    <w:p>
      <w:pPr>
        <w:widowControl w:val="0"/>
        <w:wordWrap/>
        <w:adjustRightInd/>
        <w:snapToGrid/>
        <w:spacing w:line="580" w:lineRule="exact"/>
        <w:ind w:left="-2" w:right="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（一）高度重视全省统一鉴定工作。各地要切实贯彻《人力资源社会保障部办公厅关于做好水平评价类技能人员职业资格退出目录有关工作的通知》（人社厅发〔2020〕80号）</w:t>
      </w:r>
      <w:bookmarkStart w:id="1" w:name="_GoBack"/>
      <w:bookmarkEnd w:id="1"/>
      <w:r>
        <w:rPr>
          <w:rFonts w:hint="default" w:ascii="Times New Roman" w:hAnsi="Times New Roman" w:eastAsia="仿宋_GB2312" w:cs="Times New Roman"/>
          <w:sz w:val="32"/>
          <w:szCs w:val="32"/>
        </w:rPr>
        <w:t>要求，认真组织实施全省统一鉴定工作，加强各环节的规范管理，确保质量，平稳收尾。</w:t>
      </w:r>
    </w:p>
    <w:p>
      <w:pPr>
        <w:widowControl w:val="0"/>
        <w:wordWrap/>
        <w:adjustRightInd/>
        <w:snapToGrid/>
        <w:spacing w:line="580" w:lineRule="exact"/>
        <w:ind w:right="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严把资格审核关。明确责任主体，建立谁申报、谁查验，谁承诺，谁负责的工作机制。申报数据须符合现行国家职业技能标准（附件7），有弄虚作假或不诚信行为的，一经核实，视情节严重程度，予以警告、取消相关资质、撤销上网数据、作废相关成绩等处理。</w:t>
      </w:r>
    </w:p>
    <w:p>
      <w:pPr>
        <w:widowControl w:val="0"/>
        <w:wordWrap/>
        <w:adjustRightInd/>
        <w:snapToGrid/>
        <w:spacing w:line="580" w:lineRule="exact"/>
        <w:ind w:right="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严格全省统一鉴定考务管理。2020年全省统考线上考试将委托ATA提供线上人工监考（监考比例约为1:50），考前ATA对线上监考人员按省统考线上考试考场规则进行培训及考核，考核达标者方可参与监考工作。考试结束后ATA汇总考中发现的违纪，疑似违纪考生信息、违纪类型及相关截图，录像。省中心将对相关违纪情况做审核判定并在相关考生最终成绩中予以标注。</w:t>
      </w:r>
    </w:p>
    <w:p>
      <w:pPr>
        <w:widowControl w:val="0"/>
        <w:wordWrap/>
        <w:adjustRightInd/>
        <w:snapToGrid/>
        <w:spacing w:line="580" w:lineRule="exact"/>
        <w:ind w:right="0" w:firstLine="566" w:firstLineChars="177"/>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省直和各市职业技能鉴定管理部门将对2020年全省统考线上考试全过程进行质量控制。 </w:t>
      </w:r>
    </w:p>
    <w:p>
      <w:pPr>
        <w:pStyle w:val="9"/>
        <w:widowControl w:val="0"/>
        <w:wordWrap/>
        <w:adjustRightInd/>
        <w:snapToGrid/>
        <w:spacing w:line="580" w:lineRule="exact"/>
        <w:ind w:left="-2" w:right="0" w:firstLine="64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（四）各单位要按照2020年全省统一鉴定工作时间安排（附件3）切实做好组织报名等相关考务工作。</w:t>
      </w:r>
    </w:p>
    <w:p>
      <w:pPr>
        <w:pStyle w:val="9"/>
        <w:widowControl w:val="0"/>
        <w:wordWrap/>
        <w:adjustRightInd/>
        <w:snapToGrid/>
        <w:spacing w:line="580" w:lineRule="exact"/>
        <w:ind w:left="-2" w:right="0" w:firstLine="64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（五）省中心专门设立了统考日监督举报和值班电话，分别为：024-22955819、024-22966549。各地也要设立监督举报和值班电话，认真严肃处理群众举报的问题，及时解答考生咨询，及时解决考试期间发现的问题。</w:t>
      </w:r>
    </w:p>
    <w:p>
      <w:pPr>
        <w:pStyle w:val="9"/>
        <w:widowControl w:val="0"/>
        <w:wordWrap/>
        <w:adjustRightInd/>
        <w:snapToGrid/>
        <w:spacing w:line="580" w:lineRule="exact"/>
        <w:ind w:left="565" w:right="0" w:firstLine="0" w:firstLineChars="0"/>
        <w:textAlignment w:val="auto"/>
        <w:outlineLvl w:val="9"/>
        <w:rPr>
          <w:rFonts w:hint="default" w:ascii="Times New Roman" w:hAnsi="Times New Roman" w:eastAsia="仿宋_GB2312" w:cs="Times New Roman"/>
          <w:sz w:val="32"/>
          <w:szCs w:val="32"/>
        </w:rPr>
      </w:pPr>
    </w:p>
    <w:p>
      <w:pPr>
        <w:pStyle w:val="9"/>
        <w:widowControl w:val="0"/>
        <w:wordWrap/>
        <w:adjustRightInd/>
        <w:snapToGrid/>
        <w:spacing w:line="580" w:lineRule="exact"/>
        <w:ind w:left="565" w:right="0" w:firstLine="0" w:firstLine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w:t>
      </w:r>
    </w:p>
    <w:p>
      <w:pPr>
        <w:pStyle w:val="9"/>
        <w:widowControl w:val="0"/>
        <w:wordWrap/>
        <w:adjustRightInd/>
        <w:snapToGrid/>
        <w:spacing w:line="580" w:lineRule="exact"/>
        <w:ind w:left="565" w:right="0" w:firstLine="0" w:firstLine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1.2020年国家职业资格全省统一鉴定时间安排</w:t>
      </w:r>
    </w:p>
    <w:p>
      <w:pPr>
        <w:pStyle w:val="9"/>
        <w:widowControl w:val="0"/>
        <w:wordWrap/>
        <w:adjustRightInd/>
        <w:snapToGrid/>
        <w:spacing w:line="580" w:lineRule="exact"/>
        <w:ind w:left="565" w:right="0" w:firstLine="0" w:firstLine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2.2020年国家职业资格全省统一鉴定考核方案</w:t>
      </w:r>
    </w:p>
    <w:p>
      <w:pPr>
        <w:pStyle w:val="9"/>
        <w:widowControl w:val="0"/>
        <w:wordWrap/>
        <w:adjustRightInd/>
        <w:snapToGrid/>
        <w:spacing w:line="580" w:lineRule="exact"/>
        <w:ind w:left="565" w:right="0" w:firstLine="0" w:firstLine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bookmarkStart w:id="0" w:name="_Hlk50050417"/>
      <w:r>
        <w:rPr>
          <w:rFonts w:hint="default" w:ascii="Times New Roman" w:hAnsi="Times New Roman" w:eastAsia="仿宋_GB2312" w:cs="Times New Roman"/>
          <w:sz w:val="32"/>
          <w:szCs w:val="32"/>
        </w:rPr>
        <w:t>2020年国家职业资格全省统一鉴定</w:t>
      </w:r>
      <w:bookmarkEnd w:id="0"/>
      <w:r>
        <w:rPr>
          <w:rFonts w:hint="default" w:ascii="Times New Roman" w:hAnsi="Times New Roman" w:eastAsia="仿宋_GB2312" w:cs="Times New Roman"/>
          <w:sz w:val="32"/>
          <w:szCs w:val="32"/>
        </w:rPr>
        <w:t>工作安排表</w:t>
      </w:r>
    </w:p>
    <w:p>
      <w:pPr>
        <w:pStyle w:val="9"/>
        <w:widowControl w:val="0"/>
        <w:wordWrap/>
        <w:adjustRightInd/>
        <w:snapToGrid/>
        <w:spacing w:line="580" w:lineRule="exact"/>
        <w:ind w:left="565" w:right="0" w:firstLine="0" w:firstLine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4.在线考试系统配置及环境要求</w:t>
      </w:r>
    </w:p>
    <w:p>
      <w:pPr>
        <w:pStyle w:val="9"/>
        <w:widowControl w:val="0"/>
        <w:wordWrap/>
        <w:adjustRightInd/>
        <w:snapToGrid/>
        <w:spacing w:line="580" w:lineRule="exact"/>
        <w:ind w:left="565" w:right="0" w:firstLine="0" w:firstLine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5.国家职业资格全省统一鉴定网络考试考场规则</w:t>
      </w:r>
    </w:p>
    <w:p>
      <w:pPr>
        <w:pStyle w:val="9"/>
        <w:widowControl w:val="0"/>
        <w:wordWrap/>
        <w:adjustRightInd/>
        <w:snapToGrid/>
        <w:spacing w:line="580" w:lineRule="exact"/>
        <w:ind w:left="565" w:right="0" w:firstLine="0" w:firstLine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6.国家职业资格全省统一鉴定报名资格审核承诺书 </w:t>
      </w:r>
    </w:p>
    <w:p>
      <w:pPr>
        <w:pStyle w:val="9"/>
        <w:widowControl w:val="0"/>
        <w:wordWrap/>
        <w:adjustRightInd/>
        <w:snapToGrid/>
        <w:spacing w:line="580" w:lineRule="exact"/>
        <w:ind w:left="565" w:right="0" w:firstLine="0" w:firstLine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7.国家职业资格全省统一鉴定职业申报条件</w:t>
      </w:r>
    </w:p>
    <w:p>
      <w:pPr>
        <w:widowControl/>
        <w:jc w:val="left"/>
        <w:rPr>
          <w:rFonts w:hint="eastAsia" w:ascii="仿宋" w:hAnsi="仿宋" w:eastAsia="仿宋"/>
          <w:sz w:val="28"/>
          <w:szCs w:val="28"/>
          <w:lang w:eastAsia="zh-CN"/>
        </w:rPr>
      </w:pPr>
    </w:p>
    <w:p>
      <w:pPr>
        <w:widowControl/>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辽宁省就业和人才服务中心</w:t>
      </w:r>
    </w:p>
    <w:p>
      <w:pPr>
        <w:widowControl/>
        <w:jc w:val="left"/>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2020年9月4日</w:t>
      </w:r>
    </w:p>
    <w:p>
      <w:pPr>
        <w:widowControl/>
        <w:jc w:val="left"/>
        <w:rPr>
          <w:rFonts w:ascii="黑体" w:hAnsi="黑体" w:eastAsia="黑体"/>
          <w:sz w:val="32"/>
          <w:szCs w:val="32"/>
        </w:rPr>
      </w:pPr>
      <w:r>
        <w:rPr>
          <w:rFonts w:hint="eastAsia" w:ascii="黑体" w:hAnsi="黑体" w:eastAsia="黑体"/>
          <w:sz w:val="32"/>
          <w:szCs w:val="32"/>
        </w:rPr>
        <w:t>附件1</w:t>
      </w:r>
    </w:p>
    <w:p>
      <w:pPr>
        <w:widowControl/>
        <w:jc w:val="center"/>
        <w:rPr>
          <w:rFonts w:ascii="黑体" w:hAnsi="黑体" w:eastAsia="黑体"/>
          <w:b/>
          <w:bCs/>
          <w:sz w:val="32"/>
          <w:szCs w:val="32"/>
        </w:rPr>
      </w:pPr>
      <w:r>
        <w:rPr>
          <w:rFonts w:hint="eastAsia" w:ascii="黑体" w:hAnsi="黑体" w:eastAsia="黑体"/>
          <w:b/>
          <w:bCs/>
          <w:sz w:val="32"/>
          <w:szCs w:val="32"/>
        </w:rPr>
        <w:t>2</w:t>
      </w:r>
      <w:r>
        <w:rPr>
          <w:rFonts w:ascii="黑体" w:hAnsi="黑体" w:eastAsia="黑体"/>
          <w:b/>
          <w:bCs/>
          <w:sz w:val="32"/>
          <w:szCs w:val="32"/>
        </w:rPr>
        <w:t>020</w:t>
      </w:r>
      <w:r>
        <w:rPr>
          <w:rFonts w:hint="eastAsia" w:ascii="黑体" w:hAnsi="黑体" w:eastAsia="黑体"/>
          <w:b/>
          <w:bCs/>
          <w:sz w:val="32"/>
          <w:szCs w:val="32"/>
        </w:rPr>
        <w:t>年国家职业资格全省统一鉴定时间安排</w:t>
      </w:r>
    </w:p>
    <w:p>
      <w:pPr>
        <w:widowControl/>
        <w:jc w:val="center"/>
        <w:rPr>
          <w:rFonts w:ascii="黑体" w:hAnsi="黑体" w:eastAsia="黑体"/>
          <w:b/>
          <w:bCs/>
          <w:sz w:val="32"/>
          <w:szCs w:val="32"/>
        </w:rPr>
      </w:pPr>
    </w:p>
    <w:tbl>
      <w:tblPr>
        <w:tblStyle w:val="7"/>
        <w:tblpPr w:leftFromText="180" w:rightFromText="180" w:vertAnchor="text" w:tblpXSpec="left" w:tblpY="1"/>
        <w:tblOverlap w:val="never"/>
        <w:tblW w:w="85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35"/>
        <w:gridCol w:w="2294"/>
        <w:gridCol w:w="944"/>
        <w:gridCol w:w="3104"/>
        <w:gridCol w:w="16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22" w:hRule="atLeast"/>
        </w:trPr>
        <w:tc>
          <w:tcPr>
            <w:tcW w:w="2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职业名称</w:t>
            </w:r>
          </w:p>
        </w:tc>
        <w:tc>
          <w:tcPr>
            <w:tcW w:w="944"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等级</w:t>
            </w:r>
          </w:p>
        </w:tc>
        <w:tc>
          <w:tcPr>
            <w:tcW w:w="3104"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考试时间</w:t>
            </w:r>
          </w:p>
        </w:tc>
        <w:tc>
          <w:tcPr>
            <w:tcW w:w="1632"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846" w:hRule="atLeast"/>
        </w:trPr>
        <w:tc>
          <w:tcPr>
            <w:tcW w:w="53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9月2</w:t>
            </w:r>
            <w:r>
              <w:rPr>
                <w:rFonts w:ascii="黑体" w:hAnsi="黑体" w:eastAsia="黑体" w:cs="宋体"/>
                <w:kern w:val="0"/>
                <w:sz w:val="22"/>
              </w:rPr>
              <w:t>6</w:t>
            </w:r>
            <w:r>
              <w:rPr>
                <w:rFonts w:hint="eastAsia" w:ascii="黑体" w:hAnsi="黑体" w:eastAsia="黑体" w:cs="宋体"/>
                <w:kern w:val="0"/>
                <w:sz w:val="22"/>
              </w:rPr>
              <w:t>日</w:t>
            </w:r>
          </w:p>
        </w:tc>
        <w:tc>
          <w:tcPr>
            <w:tcW w:w="2294"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企业人力资源管理师</w:t>
            </w: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4级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08:30-10:00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10:30-12:30  专业能力考核</w:t>
            </w:r>
          </w:p>
        </w:tc>
        <w:tc>
          <w:tcPr>
            <w:tcW w:w="1632"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劳动关系协调员二级综合评审：9月29日前提交论文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846" w:hRule="atLeast"/>
        </w:trPr>
        <w:tc>
          <w:tcPr>
            <w:tcW w:w="53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c>
          <w:tcPr>
            <w:tcW w:w="229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3级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08:30-10:00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10:30-12:30  专业能力考核</w:t>
            </w:r>
          </w:p>
        </w:tc>
        <w:tc>
          <w:tcPr>
            <w:tcW w:w="163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1270" w:hRule="atLeast"/>
        </w:trPr>
        <w:tc>
          <w:tcPr>
            <w:tcW w:w="53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c>
          <w:tcPr>
            <w:tcW w:w="229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2级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08:30-10:00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10:30-12:30  专业能力考核</w:t>
            </w:r>
            <w:r>
              <w:rPr>
                <w:rFonts w:hint="eastAsia" w:ascii="黑体" w:hAnsi="黑体" w:eastAsia="黑体" w:cs="宋体"/>
                <w:color w:val="000000"/>
                <w:kern w:val="0"/>
                <w:sz w:val="22"/>
              </w:rPr>
              <w:br/>
            </w:r>
            <w:r>
              <w:rPr>
                <w:rFonts w:hint="eastAsia" w:ascii="黑体" w:hAnsi="黑体" w:eastAsia="黑体" w:cs="宋体"/>
                <w:color w:val="000000"/>
                <w:kern w:val="0"/>
                <w:sz w:val="22"/>
              </w:rPr>
              <w:t>14:00-15:30  综合评审</w:t>
            </w:r>
          </w:p>
        </w:tc>
        <w:tc>
          <w:tcPr>
            <w:tcW w:w="163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1270" w:hRule="atLeast"/>
        </w:trPr>
        <w:tc>
          <w:tcPr>
            <w:tcW w:w="53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c>
          <w:tcPr>
            <w:tcW w:w="229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08:30-10:00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10:30-12:30  专业能力考核</w:t>
            </w:r>
            <w:r>
              <w:rPr>
                <w:rFonts w:hint="eastAsia" w:ascii="黑体" w:hAnsi="黑体" w:eastAsia="黑体" w:cs="宋体"/>
                <w:color w:val="000000"/>
                <w:kern w:val="0"/>
                <w:sz w:val="22"/>
              </w:rPr>
              <w:br/>
            </w:r>
            <w:r>
              <w:rPr>
                <w:rFonts w:hint="eastAsia" w:ascii="黑体" w:hAnsi="黑体" w:eastAsia="黑体" w:cs="宋体"/>
                <w:color w:val="000000"/>
                <w:kern w:val="0"/>
                <w:sz w:val="22"/>
              </w:rPr>
              <w:t>14:00-17:00  综合评审</w:t>
            </w:r>
          </w:p>
        </w:tc>
        <w:tc>
          <w:tcPr>
            <w:tcW w:w="163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846" w:hRule="atLeast"/>
        </w:trPr>
        <w:tc>
          <w:tcPr>
            <w:tcW w:w="53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9月2</w:t>
            </w:r>
            <w:r>
              <w:rPr>
                <w:rFonts w:ascii="黑体" w:hAnsi="黑体" w:eastAsia="黑体" w:cs="宋体"/>
                <w:kern w:val="0"/>
                <w:sz w:val="22"/>
              </w:rPr>
              <w:t>7</w:t>
            </w:r>
            <w:r>
              <w:rPr>
                <w:rFonts w:hint="eastAsia" w:ascii="黑体" w:hAnsi="黑体" w:eastAsia="黑体" w:cs="宋体"/>
                <w:kern w:val="0"/>
                <w:sz w:val="22"/>
              </w:rPr>
              <w:t>日</w:t>
            </w:r>
          </w:p>
        </w:tc>
        <w:tc>
          <w:tcPr>
            <w:tcW w:w="2294"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育婴员</w:t>
            </w: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5级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08:30-09:30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10:30-12:00  专业能力考核</w:t>
            </w:r>
          </w:p>
        </w:tc>
        <w:tc>
          <w:tcPr>
            <w:tcW w:w="163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846" w:hRule="atLeast"/>
        </w:trPr>
        <w:tc>
          <w:tcPr>
            <w:tcW w:w="53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c>
          <w:tcPr>
            <w:tcW w:w="229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4级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08:30-09:30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10:30-12:00  专业能力考核</w:t>
            </w:r>
          </w:p>
        </w:tc>
        <w:tc>
          <w:tcPr>
            <w:tcW w:w="163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846" w:hRule="atLeast"/>
        </w:trPr>
        <w:tc>
          <w:tcPr>
            <w:tcW w:w="53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c>
          <w:tcPr>
            <w:tcW w:w="229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3级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08:30-09:30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10:30-12:00  专业能力考核</w:t>
            </w:r>
          </w:p>
        </w:tc>
        <w:tc>
          <w:tcPr>
            <w:tcW w:w="163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846" w:hRule="atLeast"/>
        </w:trPr>
        <w:tc>
          <w:tcPr>
            <w:tcW w:w="53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9月2</w:t>
            </w:r>
            <w:r>
              <w:rPr>
                <w:rFonts w:ascii="黑体" w:hAnsi="黑体" w:eastAsia="黑体" w:cs="宋体"/>
                <w:kern w:val="0"/>
                <w:sz w:val="22"/>
              </w:rPr>
              <w:t>7</w:t>
            </w:r>
            <w:r>
              <w:rPr>
                <w:rFonts w:hint="eastAsia" w:ascii="黑体" w:hAnsi="黑体" w:eastAsia="黑体" w:cs="宋体"/>
                <w:kern w:val="0"/>
                <w:sz w:val="22"/>
              </w:rPr>
              <w:t>日</w:t>
            </w:r>
          </w:p>
        </w:tc>
        <w:tc>
          <w:tcPr>
            <w:tcW w:w="2294"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劳动关系协调员</w:t>
            </w: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3级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08:30-10:00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10:30-12:30  专业能力考核</w:t>
            </w:r>
          </w:p>
        </w:tc>
        <w:tc>
          <w:tcPr>
            <w:tcW w:w="163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1270" w:hRule="atLeast"/>
        </w:trPr>
        <w:tc>
          <w:tcPr>
            <w:tcW w:w="53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rPr>
            </w:pPr>
          </w:p>
        </w:tc>
        <w:tc>
          <w:tcPr>
            <w:tcW w:w="229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rPr>
            </w:pP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2级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08:30-10:00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10:30-12:30  专业能力考核</w:t>
            </w:r>
            <w:r>
              <w:rPr>
                <w:rFonts w:hint="eastAsia" w:ascii="黑体" w:hAnsi="黑体" w:eastAsia="黑体" w:cs="宋体"/>
                <w:color w:val="000000"/>
                <w:kern w:val="0"/>
                <w:sz w:val="22"/>
              </w:rPr>
              <w:br/>
            </w:r>
            <w:r>
              <w:rPr>
                <w:rFonts w:hint="eastAsia" w:ascii="黑体" w:hAnsi="黑体" w:eastAsia="黑体" w:cs="宋体"/>
                <w:color w:val="000000"/>
                <w:kern w:val="0"/>
                <w:sz w:val="22"/>
              </w:rPr>
              <w:t>综合评审（提交论文）</w:t>
            </w:r>
          </w:p>
        </w:tc>
        <w:tc>
          <w:tcPr>
            <w:tcW w:w="163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1270" w:hRule="atLeast"/>
        </w:trPr>
        <w:tc>
          <w:tcPr>
            <w:tcW w:w="53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rPr>
            </w:pPr>
          </w:p>
        </w:tc>
        <w:tc>
          <w:tcPr>
            <w:tcW w:w="229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rPr>
            </w:pPr>
          </w:p>
        </w:tc>
        <w:tc>
          <w:tcPr>
            <w:tcW w:w="944" w:type="dxa"/>
            <w:tcBorders>
              <w:top w:val="nil"/>
              <w:left w:val="nil"/>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1级</w:t>
            </w:r>
          </w:p>
        </w:tc>
        <w:tc>
          <w:tcPr>
            <w:tcW w:w="3104"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08:30-10:00  理论知识考试</w:t>
            </w:r>
            <w:r>
              <w:rPr>
                <w:rFonts w:hint="eastAsia" w:ascii="黑体" w:hAnsi="黑体" w:eastAsia="黑体" w:cs="宋体"/>
                <w:color w:val="000000"/>
                <w:kern w:val="0"/>
                <w:sz w:val="22"/>
              </w:rPr>
              <w:br/>
            </w:r>
            <w:r>
              <w:rPr>
                <w:rFonts w:hint="eastAsia" w:ascii="黑体" w:hAnsi="黑体" w:eastAsia="黑体" w:cs="宋体"/>
                <w:color w:val="000000"/>
                <w:kern w:val="0"/>
                <w:sz w:val="22"/>
              </w:rPr>
              <w:t>10:30-12:30  专业能力考核</w:t>
            </w:r>
            <w:r>
              <w:rPr>
                <w:rFonts w:hint="eastAsia" w:ascii="黑体" w:hAnsi="黑体" w:eastAsia="黑体" w:cs="宋体"/>
                <w:color w:val="000000"/>
                <w:kern w:val="0"/>
                <w:sz w:val="22"/>
              </w:rPr>
              <w:br/>
            </w:r>
            <w:r>
              <w:rPr>
                <w:rFonts w:hint="eastAsia" w:ascii="黑体" w:hAnsi="黑体" w:eastAsia="黑体" w:cs="宋体"/>
                <w:color w:val="000000"/>
                <w:kern w:val="0"/>
                <w:sz w:val="22"/>
              </w:rPr>
              <w:t>14:00-17:00  综合评审</w:t>
            </w:r>
          </w:p>
        </w:tc>
        <w:tc>
          <w:tcPr>
            <w:tcW w:w="163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FF0000"/>
                <w:kern w:val="0"/>
                <w:sz w:val="22"/>
              </w:rPr>
            </w:pPr>
          </w:p>
        </w:tc>
      </w:tr>
    </w:tbl>
    <w:p>
      <w:pPr>
        <w:widowControl/>
        <w:jc w:val="left"/>
        <w:rPr>
          <w:rFonts w:ascii="仿宋" w:hAnsi="仿宋" w:eastAsia="仿宋"/>
          <w:sz w:val="28"/>
          <w:szCs w:val="28"/>
        </w:rPr>
      </w:pPr>
    </w:p>
    <w:p>
      <w:pPr>
        <w:widowControl/>
        <w:jc w:val="left"/>
        <w:rPr>
          <w:rFonts w:ascii="仿宋" w:hAnsi="仿宋" w:eastAsia="仿宋"/>
          <w:sz w:val="28"/>
          <w:szCs w:val="28"/>
        </w:rPr>
      </w:pPr>
      <w:r>
        <w:rPr>
          <w:rFonts w:ascii="仿宋" w:hAnsi="仿宋" w:eastAsia="仿宋"/>
          <w:sz w:val="28"/>
          <w:szCs w:val="28"/>
        </w:rPr>
        <w:br w:type="page"/>
      </w:r>
    </w:p>
    <w:p>
      <w:pPr>
        <w:widowControl/>
        <w:jc w:val="lef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2</w:t>
      </w:r>
    </w:p>
    <w:p>
      <w:pPr>
        <w:widowControl/>
        <w:jc w:val="center"/>
        <w:rPr>
          <w:rFonts w:ascii="黑体" w:hAnsi="黑体" w:eastAsia="黑体"/>
          <w:b/>
          <w:bCs/>
          <w:sz w:val="32"/>
          <w:szCs w:val="32"/>
        </w:rPr>
      </w:pPr>
      <w:r>
        <w:rPr>
          <w:rFonts w:hint="eastAsia" w:ascii="黑体" w:hAnsi="黑体" w:eastAsia="黑体"/>
          <w:b/>
          <w:bCs/>
          <w:sz w:val="32"/>
          <w:szCs w:val="32"/>
        </w:rPr>
        <w:t>2</w:t>
      </w:r>
      <w:r>
        <w:rPr>
          <w:rFonts w:ascii="黑体" w:hAnsi="黑体" w:eastAsia="黑体"/>
          <w:b/>
          <w:bCs/>
          <w:sz w:val="32"/>
          <w:szCs w:val="32"/>
        </w:rPr>
        <w:t>020</w:t>
      </w:r>
      <w:r>
        <w:rPr>
          <w:rFonts w:hint="eastAsia" w:ascii="黑体" w:hAnsi="黑体" w:eastAsia="黑体"/>
          <w:b/>
          <w:bCs/>
          <w:sz w:val="32"/>
          <w:szCs w:val="32"/>
        </w:rPr>
        <w:t>年国家职业资格全省统一鉴定考核方案</w:t>
      </w:r>
    </w:p>
    <w:p>
      <w:pPr>
        <w:widowControl/>
        <w:jc w:val="center"/>
        <w:rPr>
          <w:rFonts w:ascii="黑体" w:hAnsi="黑体" w:eastAsia="黑体"/>
          <w:sz w:val="22"/>
        </w:rPr>
      </w:pPr>
    </w:p>
    <w:tbl>
      <w:tblPr>
        <w:tblStyle w:val="7"/>
        <w:tblpPr w:leftFromText="180" w:rightFromText="180" w:vertAnchor="text" w:tblpXSpec="left" w:tblpY="1"/>
        <w:tblOverlap w:val="never"/>
        <w:tblW w:w="95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095"/>
        <w:gridCol w:w="1238"/>
        <w:gridCol w:w="1336"/>
        <w:gridCol w:w="2092"/>
        <w:gridCol w:w="755"/>
        <w:gridCol w:w="1217"/>
        <w:gridCol w:w="892"/>
        <w:gridCol w:w="8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职业</w:t>
            </w:r>
          </w:p>
        </w:tc>
        <w:tc>
          <w:tcPr>
            <w:tcW w:w="1238"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等级</w:t>
            </w:r>
          </w:p>
        </w:tc>
        <w:tc>
          <w:tcPr>
            <w:tcW w:w="1336"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鉴定内容</w:t>
            </w:r>
          </w:p>
        </w:tc>
        <w:tc>
          <w:tcPr>
            <w:tcW w:w="2092"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题型</w:t>
            </w:r>
          </w:p>
        </w:tc>
        <w:tc>
          <w:tcPr>
            <w:tcW w:w="755"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题量</w:t>
            </w:r>
          </w:p>
        </w:tc>
        <w:tc>
          <w:tcPr>
            <w:tcW w:w="1217"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答题方式</w:t>
            </w:r>
          </w:p>
        </w:tc>
        <w:tc>
          <w:tcPr>
            <w:tcW w:w="892"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分值</w:t>
            </w:r>
          </w:p>
        </w:tc>
        <w:tc>
          <w:tcPr>
            <w:tcW w:w="892"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权重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企业人力资源管理师</w:t>
            </w:r>
          </w:p>
        </w:tc>
        <w:tc>
          <w:tcPr>
            <w:tcW w:w="123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4-3级</w:t>
            </w: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职业道德</w:t>
            </w:r>
          </w:p>
        </w:tc>
        <w:tc>
          <w:tcPr>
            <w:tcW w:w="2092"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选择题</w:t>
            </w:r>
          </w:p>
        </w:tc>
        <w:tc>
          <w:tcPr>
            <w:tcW w:w="75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100</w:t>
            </w:r>
          </w:p>
        </w:tc>
        <w:tc>
          <w:tcPr>
            <w:tcW w:w="1217"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上机考试</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10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理论知识</w:t>
            </w:r>
          </w:p>
        </w:tc>
        <w:tc>
          <w:tcPr>
            <w:tcW w:w="209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75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9</w:t>
            </w:r>
            <w:r>
              <w:rPr>
                <w:rFonts w:hint="eastAsia" w:ascii="黑体" w:hAnsi="黑体" w:eastAsia="黑体" w:cs="宋体"/>
                <w:color w:val="000000"/>
                <w:kern w:val="0"/>
                <w:sz w:val="22"/>
              </w:rPr>
              <w:t>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专业能力</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简答、计算、综合题等</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2级</w:t>
            </w: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职业道德</w:t>
            </w:r>
          </w:p>
        </w:tc>
        <w:tc>
          <w:tcPr>
            <w:tcW w:w="2092"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选择题</w:t>
            </w:r>
          </w:p>
        </w:tc>
        <w:tc>
          <w:tcPr>
            <w:tcW w:w="75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100</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10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理论知识</w:t>
            </w:r>
          </w:p>
        </w:tc>
        <w:tc>
          <w:tcPr>
            <w:tcW w:w="209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75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9</w:t>
            </w:r>
            <w:r>
              <w:rPr>
                <w:rFonts w:hint="eastAsia" w:ascii="黑体" w:hAnsi="黑体" w:eastAsia="黑体" w:cs="宋体"/>
                <w:color w:val="000000"/>
                <w:kern w:val="0"/>
                <w:sz w:val="22"/>
              </w:rPr>
              <w:t>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专业能力</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简答、综合题等</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综合评审</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文件筐</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1级</w:t>
            </w: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职业道德</w:t>
            </w:r>
          </w:p>
        </w:tc>
        <w:tc>
          <w:tcPr>
            <w:tcW w:w="2092"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选择题</w:t>
            </w:r>
          </w:p>
        </w:tc>
        <w:tc>
          <w:tcPr>
            <w:tcW w:w="75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w:t>
            </w:r>
            <w:r>
              <w:rPr>
                <w:rFonts w:ascii="黑体" w:hAnsi="黑体" w:eastAsia="黑体" w:cs="宋体"/>
                <w:color w:val="000000"/>
                <w:kern w:val="0"/>
                <w:sz w:val="22"/>
              </w:rPr>
              <w:t>00</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10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理论知识</w:t>
            </w:r>
          </w:p>
        </w:tc>
        <w:tc>
          <w:tcPr>
            <w:tcW w:w="209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75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9</w:t>
            </w:r>
            <w:r>
              <w:rPr>
                <w:rFonts w:hint="eastAsia" w:ascii="黑体" w:hAnsi="黑体" w:eastAsia="黑体" w:cs="宋体"/>
                <w:color w:val="000000"/>
                <w:kern w:val="0"/>
                <w:sz w:val="22"/>
              </w:rPr>
              <w:t>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专业能力</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简答、综合题等</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综合评审</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文件筐</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育婴员</w:t>
            </w:r>
          </w:p>
        </w:tc>
        <w:tc>
          <w:tcPr>
            <w:tcW w:w="123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5级</w:t>
            </w: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理论知识</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选择题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1217"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上机考试</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技能操作</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案例选择题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4级</w:t>
            </w: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理论知识</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选择题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技能操作</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案例选择题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3级</w:t>
            </w: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理论知识</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选择题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技能操作</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案例选择题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劳动关系协调员</w:t>
            </w:r>
          </w:p>
        </w:tc>
        <w:tc>
          <w:tcPr>
            <w:tcW w:w="123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3级</w:t>
            </w: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理论知识</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单选、多选、判断</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85</w:t>
            </w:r>
          </w:p>
        </w:tc>
        <w:tc>
          <w:tcPr>
            <w:tcW w:w="1217"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上机考试</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操作技能</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简答题、综合题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2级</w:t>
            </w: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理论知识</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单选、多选、判断</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85</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操作技能</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简答题、综合题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综合评审</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论文撰写</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tcBorders>
              <w:top w:val="single" w:color="auto" w:sz="4" w:space="0"/>
              <w:left w:val="single" w:color="auto" w:sz="4" w:space="0"/>
              <w:bottom w:val="single" w:color="auto" w:sz="4" w:space="0"/>
              <w:right w:val="single" w:color="auto" w:sz="4" w:space="0"/>
            </w:tcBorders>
            <w:vAlign w:val="center"/>
          </w:tcPr>
          <w:p>
            <w:pPr>
              <w:jc w:val="left"/>
              <w:rPr>
                <w:rFonts w:ascii="黑体" w:hAnsi="黑体" w:eastAsia="黑体" w:cs="宋体"/>
                <w:color w:val="000000"/>
                <w:kern w:val="0"/>
                <w:sz w:val="22"/>
              </w:rPr>
            </w:pPr>
            <w:r>
              <w:rPr>
                <w:rFonts w:hint="eastAsia" w:ascii="黑体" w:hAnsi="黑体" w:eastAsia="黑体" w:cs="宋体"/>
                <w:color w:val="000000"/>
                <w:kern w:val="0"/>
                <w:sz w:val="22"/>
              </w:rPr>
              <w:t>提交论文</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1级</w:t>
            </w: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理论知识</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单选、多选、判断</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85</w:t>
            </w:r>
          </w:p>
        </w:tc>
        <w:tc>
          <w:tcPr>
            <w:tcW w:w="1217"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上机考试</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操作技能</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简答题、综合题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1" w:hRule="atLeast"/>
        </w:trPr>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133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综合评审</w:t>
            </w:r>
          </w:p>
        </w:tc>
        <w:tc>
          <w:tcPr>
            <w:tcW w:w="20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案例分析题</w:t>
            </w:r>
          </w:p>
        </w:tc>
        <w:tc>
          <w:tcPr>
            <w:tcW w:w="755"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　</w:t>
            </w: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c>
          <w:tcPr>
            <w:tcW w:w="892"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100%</w:t>
            </w:r>
          </w:p>
        </w:tc>
      </w:tr>
    </w:tbl>
    <w:p>
      <w:pPr>
        <w:widowControl/>
        <w:jc w:val="left"/>
        <w:rPr>
          <w:rFonts w:ascii="黑体" w:hAnsi="黑体" w:eastAsia="黑体"/>
          <w:sz w:val="22"/>
        </w:rPr>
      </w:pPr>
    </w:p>
    <w:p>
      <w:pPr>
        <w:widowControl/>
        <w:jc w:val="left"/>
        <w:rPr>
          <w:rFonts w:ascii="黑体" w:hAnsi="黑体" w:eastAsia="黑体"/>
          <w:sz w:val="22"/>
        </w:rPr>
      </w:pPr>
      <w:r>
        <w:rPr>
          <w:rFonts w:ascii="黑体" w:hAnsi="黑体" w:eastAsia="黑体"/>
          <w:sz w:val="22"/>
        </w:rPr>
        <w:br w:type="page"/>
      </w:r>
    </w:p>
    <w:p>
      <w:pPr>
        <w:widowControl/>
        <w:jc w:val="lef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3</w:t>
      </w:r>
    </w:p>
    <w:p>
      <w:pPr>
        <w:widowControl/>
        <w:jc w:val="center"/>
        <w:rPr>
          <w:rFonts w:ascii="黑体" w:hAnsi="黑体" w:eastAsia="黑体"/>
          <w:b/>
          <w:bCs/>
          <w:sz w:val="32"/>
          <w:szCs w:val="32"/>
        </w:rPr>
      </w:pPr>
      <w:r>
        <w:rPr>
          <w:rFonts w:ascii="黑体" w:hAnsi="黑体" w:eastAsia="黑体"/>
          <w:b/>
          <w:bCs/>
          <w:sz w:val="32"/>
          <w:szCs w:val="32"/>
        </w:rPr>
        <w:t>2020年国家职业资格全省统一鉴定</w:t>
      </w:r>
      <w:r>
        <w:rPr>
          <w:rFonts w:hint="eastAsia" w:ascii="黑体" w:hAnsi="黑体" w:eastAsia="黑体"/>
          <w:b/>
          <w:bCs/>
          <w:sz w:val="32"/>
          <w:szCs w:val="32"/>
        </w:rPr>
        <w:t>工作时间安排表</w:t>
      </w:r>
    </w:p>
    <w:p>
      <w:pPr>
        <w:widowControl/>
        <w:jc w:val="center"/>
        <w:rPr>
          <w:rFonts w:ascii="仿宋" w:hAnsi="仿宋" w:eastAsia="仿宋"/>
          <w:sz w:val="28"/>
          <w:szCs w:val="28"/>
        </w:rPr>
      </w:pPr>
    </w:p>
    <w:tbl>
      <w:tblPr>
        <w:tblStyle w:val="7"/>
        <w:tblpPr w:leftFromText="180" w:rightFromText="180" w:vertAnchor="text" w:tblpXSpec="left" w:tblpY="1"/>
        <w:tblOverlap w:val="never"/>
        <w:tblW w:w="90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2"/>
        <w:gridCol w:w="2001"/>
        <w:gridCol w:w="1974"/>
        <w:gridCol w:w="41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946" w:hRule="atLeast"/>
        </w:trPr>
        <w:tc>
          <w:tcPr>
            <w:tcW w:w="8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序号</w:t>
            </w:r>
          </w:p>
        </w:tc>
        <w:tc>
          <w:tcPr>
            <w:tcW w:w="2001"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工作事项</w:t>
            </w:r>
          </w:p>
        </w:tc>
        <w:tc>
          <w:tcPr>
            <w:tcW w:w="1974"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时间</w:t>
            </w:r>
          </w:p>
        </w:tc>
        <w:tc>
          <w:tcPr>
            <w:tcW w:w="4198"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1447" w:hRule="atLeast"/>
        </w:trPr>
        <w:tc>
          <w:tcPr>
            <w:tcW w:w="852" w:type="dxa"/>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w:t>
            </w:r>
          </w:p>
        </w:tc>
        <w:tc>
          <w:tcPr>
            <w:tcW w:w="2001"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全省统考数据上报</w:t>
            </w:r>
          </w:p>
        </w:tc>
        <w:tc>
          <w:tcPr>
            <w:tcW w:w="1974" w:type="dxa"/>
            <w:tcBorders>
              <w:top w:val="nil"/>
              <w:left w:val="nil"/>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9月10日</w:t>
            </w:r>
          </w:p>
        </w:tc>
        <w:tc>
          <w:tcPr>
            <w:tcW w:w="4198"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在线系统上报业务截止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1915" w:hRule="atLeast"/>
        </w:trPr>
        <w:tc>
          <w:tcPr>
            <w:tcW w:w="852" w:type="dxa"/>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2</w:t>
            </w:r>
          </w:p>
        </w:tc>
        <w:tc>
          <w:tcPr>
            <w:tcW w:w="2001"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省直机构统考缴费</w:t>
            </w:r>
          </w:p>
        </w:tc>
        <w:tc>
          <w:tcPr>
            <w:tcW w:w="1974" w:type="dxa"/>
            <w:tcBorders>
              <w:top w:val="nil"/>
              <w:left w:val="nil"/>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9月23日</w:t>
            </w:r>
          </w:p>
        </w:tc>
        <w:tc>
          <w:tcPr>
            <w:tcW w:w="4198"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经考务部核准考生报名人数后，凭缴费单到财务部缴款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1893" w:hRule="atLeast"/>
        </w:trPr>
        <w:tc>
          <w:tcPr>
            <w:tcW w:w="852" w:type="dxa"/>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3</w:t>
            </w:r>
          </w:p>
        </w:tc>
        <w:tc>
          <w:tcPr>
            <w:tcW w:w="2001"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提交考生报名修改申请</w:t>
            </w:r>
          </w:p>
        </w:tc>
        <w:tc>
          <w:tcPr>
            <w:tcW w:w="1974" w:type="dxa"/>
            <w:tcBorders>
              <w:top w:val="nil"/>
              <w:left w:val="nil"/>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10月12日</w:t>
            </w:r>
          </w:p>
        </w:tc>
        <w:tc>
          <w:tcPr>
            <w:tcW w:w="4198"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由考试机构通过在线考务系统修改提交，由省（市）中心审核后，作为正确的制证信息使用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569" w:hRule="atLeast"/>
        </w:trPr>
        <w:tc>
          <w:tcPr>
            <w:tcW w:w="852" w:type="dxa"/>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4</w:t>
            </w:r>
          </w:p>
        </w:tc>
        <w:tc>
          <w:tcPr>
            <w:tcW w:w="2001"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成绩上网查询起始时间</w:t>
            </w:r>
          </w:p>
        </w:tc>
        <w:tc>
          <w:tcPr>
            <w:tcW w:w="1974" w:type="dxa"/>
            <w:tcBorders>
              <w:top w:val="nil"/>
              <w:left w:val="nil"/>
              <w:bottom w:val="single" w:color="auto" w:sz="4" w:space="0"/>
              <w:right w:val="single" w:color="auto" w:sz="4" w:space="0"/>
            </w:tcBorders>
            <w:vAlign w:val="center"/>
          </w:tcPr>
          <w:p>
            <w:pPr>
              <w:widowControl/>
              <w:jc w:val="center"/>
              <w:rPr>
                <w:rFonts w:ascii="黑体" w:hAnsi="黑体" w:eastAsia="黑体" w:cs="宋体"/>
                <w:kern w:val="0"/>
                <w:sz w:val="22"/>
              </w:rPr>
            </w:pPr>
            <w:r>
              <w:rPr>
                <w:rFonts w:hint="eastAsia" w:ascii="黑体" w:hAnsi="黑体" w:eastAsia="黑体" w:cs="宋体"/>
                <w:kern w:val="0"/>
                <w:sz w:val="22"/>
              </w:rPr>
              <w:t>11月16日</w:t>
            </w:r>
          </w:p>
        </w:tc>
        <w:tc>
          <w:tcPr>
            <w:tcW w:w="4198"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登录省中心网站（ln.osta.org.cn）进行考试成绩查询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020" w:hRule="atLeast"/>
        </w:trPr>
        <w:tc>
          <w:tcPr>
            <w:tcW w:w="852" w:type="dxa"/>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5</w:t>
            </w:r>
          </w:p>
        </w:tc>
        <w:tc>
          <w:tcPr>
            <w:tcW w:w="2001"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证书领取时间</w:t>
            </w:r>
          </w:p>
        </w:tc>
        <w:tc>
          <w:tcPr>
            <w:tcW w:w="1974"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另行通知</w:t>
            </w:r>
          </w:p>
        </w:tc>
        <w:tc>
          <w:tcPr>
            <w:tcW w:w="4198" w:type="dxa"/>
            <w:tcBorders>
              <w:top w:val="nil"/>
              <w:left w:val="nil"/>
              <w:bottom w:val="single" w:color="auto" w:sz="4" w:space="0"/>
              <w:right w:val="single" w:color="auto" w:sz="4" w:space="0"/>
            </w:tcBorders>
            <w:vAlign w:val="center"/>
          </w:tcPr>
          <w:p>
            <w:pPr>
              <w:widowControl/>
              <w:jc w:val="left"/>
              <w:rPr>
                <w:rFonts w:ascii="黑体" w:hAnsi="黑体" w:eastAsia="黑体" w:cs="宋体"/>
                <w:color w:val="000000"/>
                <w:kern w:val="0"/>
                <w:sz w:val="22"/>
              </w:rPr>
            </w:pPr>
            <w:r>
              <w:rPr>
                <w:rFonts w:hint="eastAsia" w:ascii="黑体" w:hAnsi="黑体" w:eastAsia="黑体" w:cs="宋体"/>
                <w:color w:val="000000"/>
                <w:kern w:val="0"/>
                <w:sz w:val="22"/>
              </w:rPr>
              <w:t>省中心</w:t>
            </w:r>
            <w:r>
              <w:rPr>
                <w:rFonts w:hint="eastAsia" w:ascii="黑体" w:hAnsi="黑体" w:eastAsia="黑体" w:cs="宋体"/>
                <w:b/>
                <w:bCs/>
                <w:color w:val="000000"/>
                <w:kern w:val="0"/>
                <w:sz w:val="22"/>
              </w:rPr>
              <w:t>信息部</w:t>
            </w:r>
            <w:r>
              <w:rPr>
                <w:rFonts w:hint="eastAsia" w:ascii="黑体" w:hAnsi="黑体" w:eastAsia="黑体" w:cs="宋体"/>
                <w:color w:val="000000"/>
                <w:kern w:val="0"/>
                <w:sz w:val="22"/>
              </w:rPr>
              <w:t>发布相关信息</w:t>
            </w:r>
          </w:p>
        </w:tc>
      </w:tr>
    </w:tbl>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lef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4</w:t>
      </w:r>
    </w:p>
    <w:p>
      <w:pPr>
        <w:widowControl/>
        <w:jc w:val="center"/>
        <w:rPr>
          <w:rFonts w:ascii="黑体" w:hAnsi="黑体" w:eastAsia="黑体"/>
          <w:b/>
          <w:bCs/>
          <w:sz w:val="32"/>
          <w:szCs w:val="32"/>
        </w:rPr>
      </w:pPr>
      <w:r>
        <w:rPr>
          <w:rFonts w:hint="eastAsia" w:ascii="黑体" w:hAnsi="黑体" w:eastAsia="黑体"/>
          <w:b/>
          <w:bCs/>
          <w:sz w:val="32"/>
          <w:szCs w:val="32"/>
        </w:rPr>
        <w:t>在线考试系统配置及环境要求</w:t>
      </w:r>
    </w:p>
    <w:p>
      <w:pPr>
        <w:widowControl/>
        <w:jc w:val="center"/>
        <w:rPr>
          <w:rFonts w:ascii="仿宋" w:hAnsi="仿宋" w:eastAsia="仿宋"/>
          <w:sz w:val="28"/>
          <w:szCs w:val="28"/>
        </w:rPr>
      </w:pPr>
    </w:p>
    <w:p>
      <w:pPr>
        <w:widowControl/>
        <w:ind w:firstLine="480" w:firstLineChars="200"/>
        <w:jc w:val="left"/>
        <w:rPr>
          <w:rFonts w:ascii="黑体" w:hAnsi="黑体" w:eastAsia="黑体"/>
          <w:sz w:val="24"/>
          <w:szCs w:val="24"/>
        </w:rPr>
      </w:pPr>
      <w:r>
        <w:rPr>
          <w:rFonts w:hint="eastAsia" w:ascii="黑体" w:hAnsi="黑体" w:eastAsia="黑体"/>
          <w:sz w:val="24"/>
          <w:szCs w:val="24"/>
        </w:rPr>
        <w:t>一、在线考试系统自带人脸识别和监控功能，考试全程需同时开启两路在线视频监控，考生需自行准备考试设备、监控设备和网络；</w:t>
      </w:r>
    </w:p>
    <w:p>
      <w:pPr>
        <w:widowControl/>
        <w:ind w:firstLine="480" w:firstLineChars="200"/>
        <w:jc w:val="left"/>
        <w:rPr>
          <w:rFonts w:ascii="黑体" w:hAnsi="黑体" w:eastAsia="黑体"/>
          <w:sz w:val="24"/>
          <w:szCs w:val="24"/>
        </w:rPr>
      </w:pPr>
      <w:r>
        <w:rPr>
          <w:rFonts w:hint="eastAsia" w:ascii="黑体" w:hAnsi="黑体" w:eastAsia="黑体"/>
          <w:sz w:val="24"/>
          <w:szCs w:val="24"/>
        </w:rPr>
        <w:t>二、考试设备软硬件要求：（用于在线考试和第一视角视频、音频视频监控的电脑）</w:t>
      </w:r>
    </w:p>
    <w:p>
      <w:pPr>
        <w:widowControl/>
        <w:ind w:firstLine="480" w:firstLineChars="200"/>
        <w:jc w:val="left"/>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w:t>
      </w:r>
      <w:r>
        <w:rPr>
          <w:rFonts w:hint="eastAsia" w:ascii="黑体" w:hAnsi="黑体" w:eastAsia="黑体"/>
          <w:sz w:val="24"/>
          <w:szCs w:val="24"/>
        </w:rPr>
        <w:t>需要使用带正常上网功能的电脑安装考试系统客户端，电脑操作系统要求为W</w:t>
      </w:r>
      <w:r>
        <w:rPr>
          <w:rFonts w:ascii="黑体" w:hAnsi="黑体" w:eastAsia="黑体"/>
          <w:sz w:val="24"/>
          <w:szCs w:val="24"/>
        </w:rPr>
        <w:t>indows</w:t>
      </w:r>
      <w:r>
        <w:rPr>
          <w:rFonts w:hint="eastAsia" w:ascii="黑体" w:hAnsi="黑体" w:eastAsia="黑体"/>
          <w:sz w:val="24"/>
          <w:szCs w:val="24"/>
        </w:rPr>
        <w:t>（推荐W</w:t>
      </w:r>
      <w:r>
        <w:rPr>
          <w:rFonts w:ascii="黑体" w:hAnsi="黑体" w:eastAsia="黑体"/>
          <w:sz w:val="24"/>
          <w:szCs w:val="24"/>
        </w:rPr>
        <w:t>in7</w:t>
      </w:r>
      <w:r>
        <w:rPr>
          <w:rFonts w:hint="eastAsia" w:ascii="黑体" w:hAnsi="黑体" w:eastAsia="黑体"/>
          <w:sz w:val="24"/>
          <w:szCs w:val="24"/>
        </w:rPr>
        <w:t>、W</w:t>
      </w:r>
      <w:r>
        <w:rPr>
          <w:rFonts w:ascii="黑体" w:hAnsi="黑体" w:eastAsia="黑体"/>
          <w:sz w:val="24"/>
          <w:szCs w:val="24"/>
        </w:rPr>
        <w:t>in10</w:t>
      </w:r>
      <w:r>
        <w:rPr>
          <w:rFonts w:hint="eastAsia" w:ascii="黑体" w:hAnsi="黑体" w:eastAsia="黑体"/>
          <w:sz w:val="24"/>
          <w:szCs w:val="24"/>
        </w:rPr>
        <w:t>）或MacOS（1</w:t>
      </w:r>
      <w:r>
        <w:rPr>
          <w:rFonts w:ascii="黑体" w:hAnsi="黑体" w:eastAsia="黑体"/>
          <w:sz w:val="24"/>
          <w:szCs w:val="24"/>
        </w:rPr>
        <w:t>0.13</w:t>
      </w:r>
      <w:r>
        <w:rPr>
          <w:rFonts w:hint="eastAsia" w:ascii="黑体" w:hAnsi="黑体" w:eastAsia="黑体"/>
          <w:sz w:val="24"/>
          <w:szCs w:val="24"/>
        </w:rPr>
        <w:t>以上）；</w:t>
      </w:r>
    </w:p>
    <w:p>
      <w:pPr>
        <w:widowControl/>
        <w:ind w:firstLine="480" w:firstLineChars="200"/>
        <w:jc w:val="left"/>
        <w:rPr>
          <w:rFonts w:ascii="黑体" w:hAnsi="黑体" w:eastAsia="黑体"/>
          <w:sz w:val="24"/>
          <w:szCs w:val="24"/>
        </w:rPr>
      </w:pPr>
      <w:r>
        <w:rPr>
          <w:rFonts w:hint="eastAsia" w:ascii="黑体" w:hAnsi="黑体" w:eastAsia="黑体"/>
          <w:sz w:val="24"/>
          <w:szCs w:val="24"/>
        </w:rPr>
        <w:t>2</w:t>
      </w:r>
      <w:r>
        <w:rPr>
          <w:rFonts w:ascii="黑体" w:hAnsi="黑体" w:eastAsia="黑体"/>
          <w:sz w:val="24"/>
          <w:szCs w:val="24"/>
        </w:rPr>
        <w:t>.</w:t>
      </w:r>
      <w:r>
        <w:rPr>
          <w:rFonts w:hint="eastAsia" w:ascii="黑体" w:hAnsi="黑体" w:eastAsia="黑体"/>
          <w:sz w:val="24"/>
          <w:szCs w:val="24"/>
        </w:rPr>
        <w:t>考试用电脑具备可正常工作的摄像和麦克风设备（内置或外置均可）；</w:t>
      </w:r>
    </w:p>
    <w:p>
      <w:pPr>
        <w:widowControl/>
        <w:ind w:firstLine="480" w:firstLineChars="200"/>
        <w:jc w:val="left"/>
        <w:rPr>
          <w:rFonts w:ascii="黑体" w:hAnsi="黑体" w:eastAsia="黑体"/>
          <w:sz w:val="24"/>
          <w:szCs w:val="24"/>
        </w:rPr>
      </w:pPr>
      <w:r>
        <w:rPr>
          <w:rFonts w:hint="eastAsia" w:ascii="黑体" w:hAnsi="黑体" w:eastAsia="黑体"/>
          <w:sz w:val="24"/>
          <w:szCs w:val="24"/>
        </w:rPr>
        <w:t>3</w:t>
      </w:r>
      <w:r>
        <w:rPr>
          <w:rFonts w:ascii="黑体" w:hAnsi="黑体" w:eastAsia="黑体"/>
          <w:sz w:val="24"/>
          <w:szCs w:val="24"/>
        </w:rPr>
        <w:t>.</w:t>
      </w:r>
      <w:r>
        <w:rPr>
          <w:rFonts w:hint="eastAsia" w:ascii="黑体" w:hAnsi="黑体" w:eastAsia="黑体"/>
          <w:sz w:val="24"/>
          <w:szCs w:val="24"/>
        </w:rPr>
        <w:t>考试期间将全程使用摄像头录像、违纪拍照和音频监控，需确保考试期间电脑摄像头和麦克风开启，无遮挡；</w:t>
      </w:r>
    </w:p>
    <w:p>
      <w:pPr>
        <w:widowControl/>
        <w:ind w:firstLine="480" w:firstLineChars="200"/>
        <w:jc w:val="left"/>
        <w:rPr>
          <w:rFonts w:ascii="黑体" w:hAnsi="黑体" w:eastAsia="黑体"/>
          <w:sz w:val="24"/>
          <w:szCs w:val="24"/>
        </w:rPr>
      </w:pPr>
      <w:r>
        <w:rPr>
          <w:rFonts w:hint="eastAsia" w:ascii="黑体" w:hAnsi="黑体" w:eastAsia="黑体"/>
          <w:sz w:val="24"/>
          <w:szCs w:val="24"/>
        </w:rPr>
        <w:t>4</w:t>
      </w:r>
      <w:r>
        <w:rPr>
          <w:rFonts w:ascii="黑体" w:hAnsi="黑体" w:eastAsia="黑体"/>
          <w:sz w:val="24"/>
          <w:szCs w:val="24"/>
        </w:rPr>
        <w:t>.</w:t>
      </w:r>
      <w:r>
        <w:rPr>
          <w:rFonts w:hint="eastAsia" w:ascii="黑体" w:hAnsi="黑体" w:eastAsia="黑体"/>
          <w:sz w:val="24"/>
          <w:szCs w:val="24"/>
        </w:rPr>
        <w:t>如使用笔记本电脑请保持电量充足，建议全程使用外接电源；</w:t>
      </w:r>
    </w:p>
    <w:p>
      <w:pPr>
        <w:widowControl/>
        <w:ind w:firstLine="480" w:firstLineChars="200"/>
        <w:jc w:val="left"/>
        <w:rPr>
          <w:rFonts w:ascii="黑体" w:hAnsi="黑体" w:eastAsia="黑体"/>
          <w:sz w:val="24"/>
          <w:szCs w:val="24"/>
        </w:rPr>
      </w:pPr>
      <w:r>
        <w:rPr>
          <w:rFonts w:hint="eastAsia" w:ascii="黑体" w:hAnsi="黑体" w:eastAsia="黑体"/>
          <w:sz w:val="24"/>
          <w:szCs w:val="24"/>
        </w:rPr>
        <w:t>5</w:t>
      </w:r>
      <w:r>
        <w:rPr>
          <w:rFonts w:ascii="黑体" w:hAnsi="黑体" w:eastAsia="黑体"/>
          <w:sz w:val="24"/>
          <w:szCs w:val="24"/>
        </w:rPr>
        <w:t>.</w:t>
      </w:r>
      <w:r>
        <w:rPr>
          <w:rFonts w:hint="eastAsia" w:ascii="黑体" w:hAnsi="黑体" w:eastAsia="黑体"/>
          <w:sz w:val="24"/>
          <w:szCs w:val="24"/>
        </w:rPr>
        <w:t>进入考试系统前应关闭电脑上与考试无关的网页和软件，包括安全卫士、电脑管家及各类通讯软件，以免由于被动弹窗导致被系统判定为作弊。</w:t>
      </w:r>
    </w:p>
    <w:p>
      <w:pPr>
        <w:widowControl/>
        <w:ind w:firstLine="480" w:firstLineChars="200"/>
        <w:jc w:val="left"/>
        <w:rPr>
          <w:rFonts w:ascii="黑体" w:hAnsi="黑体" w:eastAsia="黑体"/>
          <w:sz w:val="24"/>
          <w:szCs w:val="24"/>
        </w:rPr>
      </w:pPr>
      <w:r>
        <w:rPr>
          <w:rFonts w:hint="eastAsia" w:ascii="黑体" w:hAnsi="黑体" w:eastAsia="黑体"/>
          <w:sz w:val="24"/>
          <w:szCs w:val="24"/>
        </w:rPr>
        <w:t>三、监控设备软硬件要求：（用做第二视角监控的设备）</w:t>
      </w:r>
    </w:p>
    <w:p>
      <w:pPr>
        <w:widowControl/>
        <w:ind w:firstLine="480" w:firstLineChars="200"/>
        <w:jc w:val="left"/>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w:t>
      </w:r>
      <w:r>
        <w:rPr>
          <w:rFonts w:hint="eastAsia" w:ascii="黑体" w:hAnsi="黑体" w:eastAsia="黑体"/>
          <w:sz w:val="24"/>
          <w:szCs w:val="24"/>
        </w:rPr>
        <w:t>带正常上网功能的智能手机或平板设备，必须带有可正常工作的摄像头；</w:t>
      </w:r>
    </w:p>
    <w:p>
      <w:pPr>
        <w:widowControl/>
        <w:ind w:firstLine="480" w:firstLineChars="200"/>
        <w:jc w:val="left"/>
        <w:rPr>
          <w:rFonts w:ascii="黑体" w:hAnsi="黑体" w:eastAsia="黑体"/>
          <w:sz w:val="24"/>
          <w:szCs w:val="24"/>
        </w:rPr>
      </w:pPr>
      <w:r>
        <w:rPr>
          <w:rFonts w:hint="eastAsia" w:ascii="黑体" w:hAnsi="黑体" w:eastAsia="黑体"/>
          <w:sz w:val="24"/>
          <w:szCs w:val="24"/>
        </w:rPr>
        <w:t>2</w:t>
      </w:r>
      <w:r>
        <w:rPr>
          <w:rFonts w:ascii="黑体" w:hAnsi="黑体" w:eastAsia="黑体"/>
          <w:sz w:val="24"/>
          <w:szCs w:val="24"/>
        </w:rPr>
        <w:t>.</w:t>
      </w:r>
      <w:r>
        <w:rPr>
          <w:rFonts w:hint="eastAsia" w:ascii="黑体" w:hAnsi="黑体" w:eastAsia="黑体"/>
          <w:sz w:val="24"/>
          <w:szCs w:val="24"/>
        </w:rPr>
        <w:t>监控设备推荐使用的浏览器要求如下：考生需使用推荐的浏览器登录监控；如考生自行选用其他浏览器导致监控效果不佳，由考生自行承担后果；</w:t>
      </w:r>
    </w:p>
    <w:tbl>
      <w:tblPr>
        <w:tblStyle w:val="7"/>
        <w:tblpPr w:leftFromText="180" w:rightFromText="180" w:vertAnchor="text" w:tblpXSpec="left" w:tblpY="1"/>
        <w:tblOverlap w:val="never"/>
        <w:tblW w:w="84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820"/>
        <w:gridCol w:w="2186"/>
        <w:gridCol w:w="4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68" w:hRule="atLeast"/>
        </w:trPr>
        <w:tc>
          <w:tcPr>
            <w:tcW w:w="18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设备</w:t>
            </w:r>
          </w:p>
        </w:tc>
        <w:tc>
          <w:tcPr>
            <w:tcW w:w="6652" w:type="dxa"/>
            <w:gridSpan w:val="2"/>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只能手机/平板设备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68" w:hRule="atLeast"/>
        </w:trPr>
        <w:tc>
          <w:tcPr>
            <w:tcW w:w="1820" w:type="dxa"/>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操作系统</w:t>
            </w:r>
          </w:p>
        </w:tc>
        <w:tc>
          <w:tcPr>
            <w:tcW w:w="218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IOS</w:t>
            </w:r>
          </w:p>
        </w:tc>
        <w:tc>
          <w:tcPr>
            <w:tcW w:w="446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Android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68" w:hRule="atLeast"/>
        </w:trPr>
        <w:tc>
          <w:tcPr>
            <w:tcW w:w="1820" w:type="dxa"/>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系统版本</w:t>
            </w:r>
          </w:p>
        </w:tc>
        <w:tc>
          <w:tcPr>
            <w:tcW w:w="218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IOS 11+</w:t>
            </w:r>
          </w:p>
        </w:tc>
        <w:tc>
          <w:tcPr>
            <w:tcW w:w="446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Android 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68" w:hRule="atLeast"/>
        </w:trPr>
        <w:tc>
          <w:tcPr>
            <w:tcW w:w="1820" w:type="dxa"/>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浏览器</w:t>
            </w:r>
          </w:p>
        </w:tc>
        <w:tc>
          <w:tcPr>
            <w:tcW w:w="218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Safari 11+</w:t>
            </w:r>
          </w:p>
        </w:tc>
        <w:tc>
          <w:tcPr>
            <w:tcW w:w="446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Chrome 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68" w:hRule="atLeast"/>
        </w:trPr>
        <w:tc>
          <w:tcPr>
            <w:tcW w:w="1820" w:type="dxa"/>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摄像头</w:t>
            </w:r>
          </w:p>
        </w:tc>
        <w:tc>
          <w:tcPr>
            <w:tcW w:w="218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有</w:t>
            </w:r>
          </w:p>
        </w:tc>
        <w:tc>
          <w:tcPr>
            <w:tcW w:w="4466" w:type="dxa"/>
            <w:tcBorders>
              <w:top w:val="nil"/>
              <w:left w:val="nil"/>
              <w:bottom w:val="single" w:color="auto" w:sz="4" w:space="0"/>
              <w:right w:val="single" w:color="auto" w:sz="4" w:space="0"/>
            </w:tcBorders>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有</w:t>
            </w:r>
          </w:p>
        </w:tc>
      </w:tr>
    </w:tbl>
    <w:p>
      <w:pPr>
        <w:widowControl/>
        <w:jc w:val="left"/>
        <w:rPr>
          <w:rFonts w:ascii="黑体" w:hAnsi="黑体" w:eastAsia="黑体"/>
          <w:sz w:val="24"/>
          <w:szCs w:val="24"/>
        </w:rPr>
      </w:pPr>
    </w:p>
    <w:p>
      <w:pPr>
        <w:widowControl/>
        <w:ind w:firstLine="480" w:firstLineChars="200"/>
        <w:jc w:val="left"/>
        <w:rPr>
          <w:rFonts w:ascii="黑体" w:hAnsi="黑体" w:eastAsia="黑体"/>
          <w:sz w:val="24"/>
          <w:szCs w:val="24"/>
        </w:rPr>
      </w:pPr>
      <w:r>
        <w:rPr>
          <w:rFonts w:hint="eastAsia" w:ascii="黑体" w:hAnsi="黑体" w:eastAsia="黑体"/>
          <w:sz w:val="24"/>
          <w:szCs w:val="24"/>
        </w:rPr>
        <w:t>3</w:t>
      </w:r>
      <w:r>
        <w:rPr>
          <w:rFonts w:ascii="黑体" w:hAnsi="黑体" w:eastAsia="黑体"/>
          <w:sz w:val="24"/>
          <w:szCs w:val="24"/>
        </w:rPr>
        <w:t>.</w:t>
      </w:r>
      <w:r>
        <w:rPr>
          <w:rFonts w:hint="eastAsia" w:ascii="黑体" w:hAnsi="黑体" w:eastAsia="黑体"/>
          <w:sz w:val="24"/>
          <w:szCs w:val="24"/>
        </w:rPr>
        <w:t>手机或平板支架：将智能手机或平板设备固定摆放，便于按监控视角要求调整到指定的位置和高度；</w:t>
      </w:r>
    </w:p>
    <w:p>
      <w:pPr>
        <w:widowControl/>
        <w:ind w:firstLine="480" w:firstLineChars="200"/>
        <w:jc w:val="left"/>
        <w:rPr>
          <w:rFonts w:ascii="黑体" w:hAnsi="黑体" w:eastAsia="黑体"/>
          <w:sz w:val="24"/>
          <w:szCs w:val="24"/>
        </w:rPr>
      </w:pPr>
      <w:r>
        <w:rPr>
          <w:rFonts w:hint="eastAsia" w:ascii="黑体" w:hAnsi="黑体" w:eastAsia="黑体"/>
          <w:sz w:val="24"/>
          <w:szCs w:val="24"/>
        </w:rPr>
        <w:t>4</w:t>
      </w:r>
      <w:r>
        <w:rPr>
          <w:rFonts w:ascii="黑体" w:hAnsi="黑体" w:eastAsia="黑体"/>
          <w:sz w:val="24"/>
          <w:szCs w:val="24"/>
        </w:rPr>
        <w:t>.</w:t>
      </w:r>
      <w:r>
        <w:rPr>
          <w:rFonts w:hint="eastAsia" w:ascii="黑体" w:hAnsi="黑体" w:eastAsia="黑体"/>
          <w:sz w:val="24"/>
          <w:szCs w:val="24"/>
        </w:rPr>
        <w:t>确保监考用设备电量充足，建议全程使用外接电源；</w:t>
      </w:r>
    </w:p>
    <w:p>
      <w:pPr>
        <w:widowControl/>
        <w:ind w:firstLine="480" w:firstLineChars="200"/>
        <w:jc w:val="left"/>
        <w:rPr>
          <w:rFonts w:ascii="黑体" w:hAnsi="黑体" w:eastAsia="黑体"/>
          <w:sz w:val="24"/>
          <w:szCs w:val="24"/>
        </w:rPr>
      </w:pPr>
      <w:r>
        <w:rPr>
          <w:rFonts w:hint="eastAsia" w:ascii="黑体" w:hAnsi="黑体" w:eastAsia="黑体"/>
          <w:sz w:val="24"/>
          <w:szCs w:val="24"/>
        </w:rPr>
        <w:t>5</w:t>
      </w:r>
      <w:r>
        <w:rPr>
          <w:rFonts w:ascii="黑体" w:hAnsi="黑体" w:eastAsia="黑体"/>
          <w:sz w:val="24"/>
          <w:szCs w:val="24"/>
        </w:rPr>
        <w:t>.</w:t>
      </w:r>
      <w:r>
        <w:rPr>
          <w:rFonts w:hint="eastAsia" w:ascii="黑体" w:hAnsi="黑体" w:eastAsia="黑体"/>
          <w:sz w:val="24"/>
          <w:szCs w:val="24"/>
        </w:rPr>
        <w:t>开启第二视角监控前应关掉与考试无关应用的提醒功能，避免来电、微信、或其他应用打断监控过程；</w:t>
      </w:r>
    </w:p>
    <w:p>
      <w:pPr>
        <w:widowControl/>
        <w:ind w:firstLine="480" w:firstLineChars="200"/>
        <w:jc w:val="left"/>
        <w:rPr>
          <w:rFonts w:ascii="黑体" w:hAnsi="黑体" w:eastAsia="黑体"/>
          <w:sz w:val="24"/>
          <w:szCs w:val="24"/>
        </w:rPr>
      </w:pPr>
      <w:r>
        <w:rPr>
          <w:rFonts w:hint="eastAsia" w:ascii="黑体" w:hAnsi="黑体" w:eastAsia="黑体"/>
          <w:sz w:val="24"/>
          <w:szCs w:val="24"/>
        </w:rPr>
        <w:t>6</w:t>
      </w:r>
      <w:r>
        <w:rPr>
          <w:rFonts w:ascii="黑体" w:hAnsi="黑体" w:eastAsia="黑体"/>
          <w:sz w:val="24"/>
          <w:szCs w:val="24"/>
        </w:rPr>
        <w:t>.</w:t>
      </w:r>
      <w:r>
        <w:rPr>
          <w:rFonts w:hint="eastAsia" w:ascii="黑体" w:hAnsi="黑体" w:eastAsia="黑体"/>
          <w:sz w:val="24"/>
          <w:szCs w:val="24"/>
        </w:rPr>
        <w:t>第二视角监控设备设置标准</w:t>
      </w:r>
    </w:p>
    <w:p>
      <w:pPr>
        <w:widowControl/>
        <w:ind w:firstLine="480" w:firstLineChars="200"/>
        <w:jc w:val="left"/>
        <w:rPr>
          <w:rFonts w:ascii="黑体" w:hAnsi="黑体" w:eastAsia="黑体"/>
          <w:sz w:val="24"/>
          <w:szCs w:val="24"/>
        </w:rPr>
      </w:pPr>
      <w:r>
        <w:rPr>
          <w:rFonts w:hint="eastAsia" w:ascii="黑体" w:hAnsi="黑体" w:eastAsia="黑体"/>
          <w:sz w:val="24"/>
          <w:szCs w:val="24"/>
        </w:rPr>
        <w:t>第二视角应设置位于考生侧后方4</w:t>
      </w:r>
      <w:r>
        <w:rPr>
          <w:rFonts w:ascii="黑体" w:hAnsi="黑体" w:eastAsia="黑体"/>
          <w:sz w:val="24"/>
          <w:szCs w:val="24"/>
        </w:rPr>
        <w:t>5</w:t>
      </w:r>
      <w:r>
        <w:rPr>
          <w:rFonts w:hint="eastAsia" w:ascii="黑体" w:hAnsi="黑体" w:eastAsia="黑体"/>
          <w:sz w:val="24"/>
          <w:szCs w:val="24"/>
        </w:rPr>
        <w:t>度，离地高度1</w:t>
      </w:r>
      <w:r>
        <w:rPr>
          <w:rFonts w:ascii="黑体" w:hAnsi="黑体" w:eastAsia="黑体"/>
          <w:sz w:val="24"/>
          <w:szCs w:val="24"/>
        </w:rPr>
        <w:t>.2</w:t>
      </w:r>
      <w:r>
        <w:rPr>
          <w:rFonts w:hint="eastAsia" w:ascii="黑体" w:hAnsi="黑体" w:eastAsia="黑体"/>
          <w:sz w:val="24"/>
          <w:szCs w:val="24"/>
        </w:rPr>
        <w:t>-</w:t>
      </w:r>
      <w:r>
        <w:rPr>
          <w:rFonts w:ascii="黑体" w:hAnsi="黑体" w:eastAsia="黑体"/>
          <w:sz w:val="24"/>
          <w:szCs w:val="24"/>
        </w:rPr>
        <w:t>1.5</w:t>
      </w:r>
      <w:r>
        <w:rPr>
          <w:rFonts w:hint="eastAsia" w:ascii="黑体" w:hAnsi="黑体" w:eastAsia="黑体"/>
          <w:sz w:val="24"/>
          <w:szCs w:val="24"/>
        </w:rPr>
        <w:t>米，距离考生1</w:t>
      </w:r>
      <w:r>
        <w:rPr>
          <w:rFonts w:ascii="黑体" w:hAnsi="黑体" w:eastAsia="黑体"/>
          <w:sz w:val="24"/>
          <w:szCs w:val="24"/>
        </w:rPr>
        <w:t>.5</w:t>
      </w:r>
      <w:r>
        <w:rPr>
          <w:rFonts w:hint="eastAsia" w:ascii="黑体" w:hAnsi="黑体" w:eastAsia="黑体"/>
          <w:sz w:val="24"/>
          <w:szCs w:val="24"/>
        </w:rPr>
        <w:t>-</w:t>
      </w:r>
      <w:r>
        <w:rPr>
          <w:rFonts w:ascii="黑体" w:hAnsi="黑体" w:eastAsia="黑体"/>
          <w:sz w:val="24"/>
          <w:szCs w:val="24"/>
        </w:rPr>
        <w:t>2.0</w:t>
      </w:r>
      <w:r>
        <w:rPr>
          <w:rFonts w:hint="eastAsia" w:ascii="黑体" w:hAnsi="黑体" w:eastAsia="黑体"/>
          <w:sz w:val="24"/>
          <w:szCs w:val="24"/>
        </w:rPr>
        <w:t>米，可监测到考生桌面、屏幕及前方图像（如下图所示）。</w:t>
      </w:r>
    </w:p>
    <w:p>
      <w:pPr>
        <w:widowControl/>
        <w:jc w:val="center"/>
        <w:rPr>
          <w:rFonts w:ascii="仿宋" w:hAnsi="仿宋" w:eastAsia="仿宋"/>
          <w:sz w:val="28"/>
          <w:szCs w:val="28"/>
        </w:rPr>
      </w:pPr>
      <w:r>
        <w:rPr>
          <w:rFonts w:hint="eastAsia" w:ascii="仿宋" w:hAnsi="仿宋" w:eastAsia="仿宋" w:cs="黑体"/>
          <w:kern w:val="2"/>
          <w:sz w:val="28"/>
          <w:szCs w:val="28"/>
          <w:lang w:val="en-US" w:eastAsia="zh-CN" w:bidi="ar-SA"/>
        </w:rPr>
        <w:pict>
          <v:shape id="图片 2" o:spid="_x0000_s1027" type="#_x0000_t75" style="height:279pt;width:379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widowControl/>
        <w:jc w:val="center"/>
        <w:rPr>
          <w:rFonts w:ascii="仿宋" w:hAnsi="仿宋" w:eastAsia="仿宋"/>
          <w:sz w:val="28"/>
          <w:szCs w:val="28"/>
        </w:rPr>
      </w:pPr>
      <w:r>
        <w:rPr>
          <w:rFonts w:ascii="仿宋" w:hAnsi="仿宋" w:eastAsia="仿宋" w:cs="黑体"/>
          <w:kern w:val="2"/>
          <w:sz w:val="28"/>
          <w:szCs w:val="28"/>
          <w:lang w:val="en-US" w:eastAsia="zh-CN" w:bidi="ar-SA"/>
        </w:rPr>
        <w:pict>
          <v:shape id="图片 3" o:spid="_x0000_s1028" type="#_x0000_t75" style="height:409.2pt;width:380.0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widowControl/>
        <w:ind w:firstLine="560" w:firstLineChars="200"/>
        <w:jc w:val="center"/>
        <w:rPr>
          <w:rFonts w:ascii="仿宋" w:hAnsi="仿宋" w:eastAsia="仿宋"/>
          <w:sz w:val="28"/>
          <w:szCs w:val="28"/>
        </w:rPr>
      </w:pPr>
    </w:p>
    <w:p>
      <w:pPr>
        <w:widowControl/>
        <w:ind w:firstLine="480" w:firstLineChars="200"/>
        <w:jc w:val="left"/>
        <w:rPr>
          <w:rFonts w:ascii="黑体" w:hAnsi="黑体" w:eastAsia="黑体"/>
          <w:sz w:val="24"/>
          <w:szCs w:val="24"/>
        </w:rPr>
      </w:pPr>
      <w:r>
        <w:rPr>
          <w:rFonts w:hint="eastAsia" w:ascii="黑体" w:hAnsi="黑体" w:eastAsia="黑体"/>
          <w:sz w:val="24"/>
          <w:szCs w:val="24"/>
        </w:rPr>
        <w:t>四、网络条件要求：</w:t>
      </w:r>
    </w:p>
    <w:p>
      <w:pPr>
        <w:widowControl/>
        <w:ind w:firstLine="480" w:firstLineChars="200"/>
        <w:jc w:val="left"/>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w:t>
      </w:r>
      <w:r>
        <w:rPr>
          <w:rFonts w:hint="eastAsia" w:ascii="黑体" w:hAnsi="黑体" w:eastAsia="黑体"/>
          <w:sz w:val="24"/>
          <w:szCs w:val="24"/>
        </w:rPr>
        <w:t>考试场所应有稳定的网络条件，支持考试设备和监控设备同时联网；</w:t>
      </w:r>
    </w:p>
    <w:p>
      <w:pPr>
        <w:widowControl/>
        <w:ind w:firstLine="480" w:firstLineChars="200"/>
        <w:jc w:val="left"/>
        <w:rPr>
          <w:rFonts w:ascii="黑体" w:hAnsi="黑体" w:eastAsia="黑体"/>
          <w:sz w:val="24"/>
          <w:szCs w:val="24"/>
        </w:rPr>
      </w:pPr>
      <w:r>
        <w:rPr>
          <w:rFonts w:hint="eastAsia" w:ascii="黑体" w:hAnsi="黑体" w:eastAsia="黑体"/>
          <w:sz w:val="24"/>
          <w:szCs w:val="24"/>
        </w:rPr>
        <w:t>2</w:t>
      </w:r>
      <w:r>
        <w:rPr>
          <w:rFonts w:ascii="黑体" w:hAnsi="黑体" w:eastAsia="黑体"/>
          <w:sz w:val="24"/>
          <w:szCs w:val="24"/>
        </w:rPr>
        <w:t>.</w:t>
      </w:r>
      <w:r>
        <w:rPr>
          <w:rFonts w:hint="eastAsia" w:ascii="黑体" w:hAnsi="黑体" w:eastAsia="黑体"/>
          <w:sz w:val="24"/>
          <w:szCs w:val="24"/>
        </w:rPr>
        <w:t>网络带宽不低于2</w:t>
      </w:r>
      <w:r>
        <w:rPr>
          <w:rFonts w:ascii="黑体" w:hAnsi="黑体" w:eastAsia="黑体"/>
          <w:sz w:val="24"/>
          <w:szCs w:val="24"/>
        </w:rPr>
        <w:t>0</w:t>
      </w:r>
      <w:r>
        <w:rPr>
          <w:rFonts w:hint="eastAsia" w:ascii="黑体" w:hAnsi="黑体" w:eastAsia="黑体"/>
          <w:sz w:val="24"/>
          <w:szCs w:val="24"/>
        </w:rPr>
        <w:t>Mbps，建议使用宽度5</w:t>
      </w:r>
      <w:r>
        <w:rPr>
          <w:rFonts w:ascii="黑体" w:hAnsi="黑体" w:eastAsia="黑体"/>
          <w:sz w:val="24"/>
          <w:szCs w:val="24"/>
        </w:rPr>
        <w:t>0</w:t>
      </w:r>
      <w:r>
        <w:rPr>
          <w:rFonts w:hint="eastAsia" w:ascii="黑体" w:hAnsi="黑体" w:eastAsia="黑体"/>
          <w:sz w:val="24"/>
          <w:szCs w:val="24"/>
        </w:rPr>
        <w:t>Mbps或以上的独立光纤网络；</w:t>
      </w:r>
    </w:p>
    <w:p>
      <w:pPr>
        <w:widowControl/>
        <w:ind w:firstLine="480" w:firstLineChars="200"/>
        <w:jc w:val="left"/>
        <w:rPr>
          <w:rFonts w:ascii="黑体" w:hAnsi="黑体" w:eastAsia="黑体"/>
          <w:sz w:val="24"/>
          <w:szCs w:val="24"/>
        </w:rPr>
      </w:pPr>
      <w:r>
        <w:rPr>
          <w:rFonts w:hint="eastAsia" w:ascii="黑体" w:hAnsi="黑体" w:eastAsia="黑体"/>
          <w:sz w:val="24"/>
          <w:szCs w:val="24"/>
        </w:rPr>
        <w:t>3</w:t>
      </w:r>
      <w:r>
        <w:rPr>
          <w:rFonts w:ascii="黑体" w:hAnsi="黑体" w:eastAsia="黑体"/>
          <w:sz w:val="24"/>
          <w:szCs w:val="24"/>
        </w:rPr>
        <w:t>.</w:t>
      </w:r>
      <w:r>
        <w:rPr>
          <w:rFonts w:hint="eastAsia" w:ascii="黑体" w:hAnsi="黑体" w:eastAsia="黑体"/>
          <w:sz w:val="24"/>
          <w:szCs w:val="24"/>
        </w:rPr>
        <w:t>考生网络上传速度不低于2MB</w:t>
      </w:r>
      <w:r>
        <w:rPr>
          <w:rFonts w:ascii="黑体" w:hAnsi="黑体" w:eastAsia="黑体"/>
          <w:sz w:val="24"/>
          <w:szCs w:val="24"/>
        </w:rPr>
        <w:t>/</w:t>
      </w:r>
      <w:r>
        <w:rPr>
          <w:rFonts w:hint="eastAsia" w:ascii="黑体" w:hAnsi="黑体" w:eastAsia="黑体"/>
          <w:sz w:val="24"/>
          <w:szCs w:val="24"/>
        </w:rPr>
        <w:t>s；</w:t>
      </w:r>
    </w:p>
    <w:p>
      <w:pPr>
        <w:widowControl/>
        <w:ind w:firstLine="480" w:firstLineChars="200"/>
        <w:jc w:val="left"/>
        <w:rPr>
          <w:rFonts w:ascii="黑体" w:hAnsi="黑体" w:eastAsia="黑体"/>
          <w:sz w:val="24"/>
          <w:szCs w:val="24"/>
        </w:rPr>
      </w:pPr>
      <w:r>
        <w:rPr>
          <w:rFonts w:hint="eastAsia" w:ascii="黑体" w:hAnsi="黑体" w:eastAsia="黑体"/>
          <w:sz w:val="24"/>
          <w:szCs w:val="24"/>
        </w:rPr>
        <w:t>4</w:t>
      </w:r>
      <w:r>
        <w:rPr>
          <w:rFonts w:ascii="黑体" w:hAnsi="黑体" w:eastAsia="黑体"/>
          <w:sz w:val="24"/>
          <w:szCs w:val="24"/>
        </w:rPr>
        <w:t>.</w:t>
      </w:r>
      <w:r>
        <w:rPr>
          <w:rFonts w:hint="eastAsia" w:ascii="黑体" w:hAnsi="黑体" w:eastAsia="黑体"/>
          <w:sz w:val="24"/>
          <w:szCs w:val="24"/>
        </w:rPr>
        <w:t>考生准备4G等手机移动网络作为备用网络，并事先做好调试，以便出现网络故障时能迅速切换备用网络继续考试；</w:t>
      </w:r>
    </w:p>
    <w:p>
      <w:pPr>
        <w:widowControl/>
        <w:ind w:firstLine="480" w:firstLineChars="200"/>
        <w:jc w:val="left"/>
        <w:rPr>
          <w:rFonts w:ascii="黑体" w:hAnsi="黑体" w:eastAsia="黑体"/>
          <w:sz w:val="24"/>
          <w:szCs w:val="24"/>
        </w:rPr>
      </w:pPr>
      <w:r>
        <w:rPr>
          <w:rFonts w:hint="eastAsia" w:ascii="黑体" w:hAnsi="黑体" w:eastAsia="黑体"/>
          <w:sz w:val="24"/>
          <w:szCs w:val="24"/>
        </w:rPr>
        <w:t>5</w:t>
      </w:r>
      <w:r>
        <w:rPr>
          <w:rFonts w:ascii="黑体" w:hAnsi="黑体" w:eastAsia="黑体"/>
          <w:sz w:val="24"/>
          <w:szCs w:val="24"/>
        </w:rPr>
        <w:t>.</w:t>
      </w:r>
      <w:r>
        <w:rPr>
          <w:rFonts w:hint="eastAsia" w:ascii="黑体" w:hAnsi="黑体" w:eastAsia="黑体"/>
          <w:sz w:val="24"/>
          <w:szCs w:val="24"/>
        </w:rPr>
        <w:t>考试期间如发生考试网络故障，考试系统会即时提醒考生，请考生在看到异常提示后迅速修复网络故障。故障解决后，考生可重新进入考试继续作答，网络故障发生之前的作答结果会保存；但由于考试设备或网络故障导致考试时间的损失、或无法完成考试的，将不会获得补时或补考的机会。</w:t>
      </w:r>
    </w:p>
    <w:p>
      <w:pPr>
        <w:widowControl/>
        <w:ind w:firstLine="480" w:firstLineChars="200"/>
        <w:jc w:val="left"/>
        <w:rPr>
          <w:rFonts w:ascii="仿宋" w:hAnsi="仿宋" w:eastAsia="仿宋"/>
          <w:sz w:val="24"/>
          <w:szCs w:val="24"/>
        </w:rPr>
      </w:pPr>
    </w:p>
    <w:p>
      <w:pPr>
        <w:widowControl/>
        <w:jc w:val="left"/>
        <w:rPr>
          <w:rFonts w:ascii="仿宋" w:hAnsi="仿宋" w:eastAsia="仿宋"/>
          <w:sz w:val="24"/>
          <w:szCs w:val="24"/>
        </w:rPr>
      </w:pPr>
      <w:r>
        <w:rPr>
          <w:rFonts w:ascii="仿宋" w:hAnsi="仿宋" w:eastAsia="仿宋"/>
          <w:sz w:val="24"/>
          <w:szCs w:val="24"/>
        </w:rPr>
        <w:br w:type="page"/>
      </w:r>
    </w:p>
    <w:p>
      <w:pPr>
        <w:widowControl/>
        <w:jc w:val="lef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5</w:t>
      </w:r>
    </w:p>
    <w:p>
      <w:pPr>
        <w:widowControl/>
        <w:jc w:val="center"/>
        <w:rPr>
          <w:rFonts w:ascii="黑体" w:hAnsi="黑体" w:eastAsia="黑体"/>
          <w:b/>
          <w:bCs/>
          <w:sz w:val="32"/>
          <w:szCs w:val="32"/>
        </w:rPr>
      </w:pPr>
      <w:r>
        <w:rPr>
          <w:rFonts w:hint="eastAsia" w:ascii="黑体" w:hAnsi="黑体" w:eastAsia="黑体"/>
          <w:b/>
          <w:bCs/>
          <w:sz w:val="32"/>
          <w:szCs w:val="32"/>
        </w:rPr>
        <w:t>国家职业资格全省统一鉴定网络考试考场规则</w:t>
      </w:r>
    </w:p>
    <w:p>
      <w:pPr>
        <w:widowControl/>
        <w:jc w:val="center"/>
        <w:rPr>
          <w:rFonts w:ascii="仿宋" w:hAnsi="仿宋" w:eastAsia="仿宋"/>
          <w:sz w:val="28"/>
          <w:szCs w:val="28"/>
        </w:rPr>
      </w:pPr>
    </w:p>
    <w:p>
      <w:pPr>
        <w:widowControl/>
        <w:ind w:firstLine="480" w:firstLineChars="200"/>
        <w:jc w:val="left"/>
        <w:rPr>
          <w:rFonts w:ascii="黑体" w:hAnsi="黑体" w:eastAsia="黑体"/>
          <w:sz w:val="24"/>
          <w:szCs w:val="24"/>
        </w:rPr>
      </w:pPr>
      <w:r>
        <w:rPr>
          <w:rFonts w:hint="eastAsia" w:ascii="黑体" w:hAnsi="黑体" w:eastAsia="黑体"/>
          <w:sz w:val="24"/>
          <w:szCs w:val="24"/>
        </w:rPr>
        <w:t>为保证考试的公正性和严肃性，在线考试将启用人脸识别，对考生身份特征进行识别；考中全程AI监考，人工远程视频、音频监考以及考后监控记录核查等方式对考试过程进行全面监控。</w:t>
      </w:r>
    </w:p>
    <w:p>
      <w:pPr>
        <w:widowControl/>
        <w:ind w:firstLine="480" w:firstLineChars="200"/>
        <w:jc w:val="left"/>
        <w:rPr>
          <w:rFonts w:ascii="黑体" w:hAnsi="黑体" w:eastAsia="黑体"/>
          <w:sz w:val="24"/>
          <w:szCs w:val="24"/>
        </w:rPr>
      </w:pPr>
      <w:r>
        <w:rPr>
          <w:rFonts w:hint="eastAsia" w:ascii="黑体" w:hAnsi="黑体" w:eastAsia="黑体"/>
          <w:sz w:val="24"/>
          <w:szCs w:val="24"/>
        </w:rPr>
        <w:t>考生应自觉遵守考试纪律，知悉以下行为将被认定为违反考试纪律，根据违规行为进行处理。</w:t>
      </w:r>
    </w:p>
    <w:p>
      <w:pPr>
        <w:widowControl/>
        <w:ind w:firstLine="480" w:firstLineChars="200"/>
        <w:jc w:val="left"/>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w:t>
      </w:r>
      <w:r>
        <w:rPr>
          <w:rFonts w:hint="eastAsia" w:ascii="黑体" w:hAnsi="黑体" w:eastAsia="黑体"/>
          <w:sz w:val="24"/>
          <w:szCs w:val="24"/>
        </w:rPr>
        <w:t>考生应选择安静、光线充足、不受打扰的空间独自参加考试，不得在公共场所（如学校、图书馆、咖啡馆、办公室等）进行考试；</w:t>
      </w:r>
    </w:p>
    <w:p>
      <w:pPr>
        <w:widowControl/>
        <w:ind w:firstLine="480" w:firstLineChars="200"/>
        <w:jc w:val="left"/>
        <w:rPr>
          <w:rFonts w:ascii="黑体" w:hAnsi="黑体" w:eastAsia="黑体"/>
          <w:sz w:val="24"/>
          <w:szCs w:val="24"/>
        </w:rPr>
      </w:pPr>
      <w:r>
        <w:rPr>
          <w:rFonts w:hint="eastAsia" w:ascii="黑体" w:hAnsi="黑体" w:eastAsia="黑体"/>
          <w:sz w:val="24"/>
          <w:szCs w:val="24"/>
        </w:rPr>
        <w:t>2</w:t>
      </w:r>
      <w:r>
        <w:rPr>
          <w:rFonts w:ascii="黑体" w:hAnsi="黑体" w:eastAsia="黑体"/>
          <w:sz w:val="24"/>
          <w:szCs w:val="24"/>
        </w:rPr>
        <w:t>.</w:t>
      </w:r>
      <w:r>
        <w:rPr>
          <w:rFonts w:hint="eastAsia" w:ascii="黑体" w:hAnsi="黑体" w:eastAsia="黑体"/>
          <w:sz w:val="24"/>
          <w:szCs w:val="24"/>
        </w:rPr>
        <w:t>请准备洁净、平整的桌面用于摆放考试设备、键盘和鼠标。除上述物品外，答题桌面不允许摆放其他违规物品，包括除监控设备以外的手机等通讯设备和电子设备、计算器、书籍、资料、零食、饮品等；</w:t>
      </w:r>
    </w:p>
    <w:p>
      <w:pPr>
        <w:widowControl/>
        <w:ind w:firstLine="480" w:firstLineChars="200"/>
        <w:jc w:val="left"/>
        <w:rPr>
          <w:rFonts w:ascii="黑体" w:hAnsi="黑体" w:eastAsia="黑体"/>
          <w:sz w:val="24"/>
          <w:szCs w:val="24"/>
        </w:rPr>
      </w:pPr>
      <w:r>
        <w:rPr>
          <w:rFonts w:hint="eastAsia" w:ascii="黑体" w:hAnsi="黑体" w:eastAsia="黑体"/>
          <w:sz w:val="24"/>
          <w:szCs w:val="24"/>
        </w:rPr>
        <w:t>3</w:t>
      </w:r>
      <w:r>
        <w:rPr>
          <w:rFonts w:ascii="黑体" w:hAnsi="黑体" w:eastAsia="黑体"/>
          <w:sz w:val="24"/>
          <w:szCs w:val="24"/>
        </w:rPr>
        <w:t>.</w:t>
      </w:r>
      <w:r>
        <w:rPr>
          <w:rFonts w:hint="eastAsia" w:ascii="黑体" w:hAnsi="黑体" w:eastAsia="黑体"/>
          <w:sz w:val="24"/>
          <w:szCs w:val="24"/>
        </w:rPr>
        <w:t>伪造资料、身份信息，替代他人或委托他人代为参加考试的行为；</w:t>
      </w:r>
    </w:p>
    <w:p>
      <w:pPr>
        <w:widowControl/>
        <w:ind w:firstLine="480" w:firstLineChars="200"/>
        <w:jc w:val="left"/>
        <w:rPr>
          <w:rFonts w:ascii="黑体" w:hAnsi="黑体" w:eastAsia="黑体"/>
          <w:sz w:val="24"/>
          <w:szCs w:val="24"/>
        </w:rPr>
      </w:pPr>
      <w:r>
        <w:rPr>
          <w:rFonts w:hint="eastAsia" w:ascii="黑体" w:hAnsi="黑体" w:eastAsia="黑体"/>
          <w:sz w:val="24"/>
          <w:szCs w:val="24"/>
        </w:rPr>
        <w:t>4</w:t>
      </w:r>
      <w:r>
        <w:rPr>
          <w:rFonts w:ascii="黑体" w:hAnsi="黑体" w:eastAsia="黑体"/>
          <w:sz w:val="24"/>
          <w:szCs w:val="24"/>
        </w:rPr>
        <w:t>.</w:t>
      </w:r>
      <w:r>
        <w:rPr>
          <w:rFonts w:hint="eastAsia" w:ascii="黑体" w:hAnsi="黑体" w:eastAsia="黑体"/>
          <w:sz w:val="24"/>
          <w:szCs w:val="24"/>
        </w:rPr>
        <w:t>作答空间内出现除考生外的无关人员、或通过他人协助进行作答的情况；</w:t>
      </w:r>
    </w:p>
    <w:p>
      <w:pPr>
        <w:widowControl/>
        <w:ind w:firstLine="480" w:firstLineChars="200"/>
        <w:jc w:val="left"/>
        <w:rPr>
          <w:rFonts w:ascii="黑体" w:hAnsi="黑体" w:eastAsia="黑体"/>
          <w:sz w:val="24"/>
          <w:szCs w:val="24"/>
        </w:rPr>
      </w:pPr>
      <w:r>
        <w:rPr>
          <w:rFonts w:hint="eastAsia" w:ascii="黑体" w:hAnsi="黑体" w:eastAsia="黑体"/>
          <w:sz w:val="24"/>
          <w:szCs w:val="24"/>
        </w:rPr>
        <w:t>5</w:t>
      </w:r>
      <w:r>
        <w:rPr>
          <w:rFonts w:ascii="黑体" w:hAnsi="黑体" w:eastAsia="黑体"/>
          <w:sz w:val="24"/>
          <w:szCs w:val="24"/>
        </w:rPr>
        <w:t>.</w:t>
      </w:r>
      <w:r>
        <w:rPr>
          <w:rFonts w:hint="eastAsia" w:ascii="黑体" w:hAnsi="黑体" w:eastAsia="黑体"/>
          <w:sz w:val="24"/>
          <w:szCs w:val="24"/>
        </w:rPr>
        <w:t>考试过程中佩戴口罩、墨镜、帽子，或用其它方式遮挡面部，遮挡、关闭监控摄像头、麦克风，或离座、故意偏离摄像头范围等逃避监考的行为；</w:t>
      </w:r>
    </w:p>
    <w:p>
      <w:pPr>
        <w:widowControl/>
        <w:ind w:firstLine="480" w:firstLineChars="200"/>
        <w:jc w:val="left"/>
        <w:rPr>
          <w:rFonts w:ascii="黑体" w:hAnsi="黑体" w:eastAsia="黑体"/>
          <w:sz w:val="24"/>
          <w:szCs w:val="24"/>
        </w:rPr>
      </w:pPr>
      <w:r>
        <w:rPr>
          <w:rFonts w:ascii="黑体" w:hAnsi="黑体" w:eastAsia="黑体"/>
          <w:sz w:val="24"/>
          <w:szCs w:val="24"/>
        </w:rPr>
        <w:t>6.</w:t>
      </w:r>
      <w:r>
        <w:rPr>
          <w:rFonts w:hint="eastAsia" w:ascii="黑体" w:hAnsi="黑体" w:eastAsia="黑体"/>
          <w:sz w:val="24"/>
          <w:szCs w:val="24"/>
        </w:rPr>
        <w:t>考试全程考生需确保耳部轮廓清晰可见，不允许使用耳机，包括头戴式耳机、入耳式耳机、耳麦等各类接听设备；</w:t>
      </w:r>
    </w:p>
    <w:p>
      <w:pPr>
        <w:widowControl/>
        <w:ind w:firstLine="480" w:firstLineChars="200"/>
        <w:jc w:val="left"/>
        <w:rPr>
          <w:rFonts w:ascii="黑体" w:hAnsi="黑体" w:eastAsia="黑体"/>
          <w:sz w:val="24"/>
          <w:szCs w:val="24"/>
        </w:rPr>
      </w:pPr>
      <w:r>
        <w:rPr>
          <w:rFonts w:hint="eastAsia" w:ascii="黑体" w:hAnsi="黑体" w:eastAsia="黑体"/>
          <w:sz w:val="24"/>
          <w:szCs w:val="24"/>
        </w:rPr>
        <w:t>7</w:t>
      </w:r>
      <w:r>
        <w:rPr>
          <w:rFonts w:ascii="黑体" w:hAnsi="黑体" w:eastAsia="黑体"/>
          <w:sz w:val="24"/>
          <w:szCs w:val="24"/>
        </w:rPr>
        <w:t>.</w:t>
      </w:r>
      <w:r>
        <w:rPr>
          <w:rFonts w:hint="eastAsia" w:ascii="黑体" w:hAnsi="黑体" w:eastAsia="黑体"/>
          <w:sz w:val="24"/>
          <w:szCs w:val="24"/>
        </w:rPr>
        <w:t>考试期间翻看书籍、资料或使用手机、平板电脑等作弊的行为；</w:t>
      </w:r>
    </w:p>
    <w:p>
      <w:pPr>
        <w:widowControl/>
        <w:ind w:firstLine="480" w:firstLineChars="200"/>
        <w:jc w:val="left"/>
        <w:rPr>
          <w:rFonts w:ascii="黑体" w:hAnsi="黑体" w:eastAsia="黑体"/>
          <w:sz w:val="24"/>
          <w:szCs w:val="24"/>
        </w:rPr>
      </w:pPr>
      <w:r>
        <w:rPr>
          <w:rFonts w:hint="eastAsia" w:ascii="黑体" w:hAnsi="黑体" w:eastAsia="黑体"/>
          <w:sz w:val="24"/>
          <w:szCs w:val="24"/>
        </w:rPr>
        <w:t>8</w:t>
      </w:r>
      <w:r>
        <w:rPr>
          <w:rFonts w:ascii="黑体" w:hAnsi="黑体" w:eastAsia="黑体"/>
          <w:sz w:val="24"/>
          <w:szCs w:val="24"/>
        </w:rPr>
        <w:t>.</w:t>
      </w:r>
      <w:r>
        <w:rPr>
          <w:rFonts w:hint="eastAsia" w:ascii="黑体" w:hAnsi="黑体" w:eastAsia="黑体"/>
          <w:sz w:val="24"/>
          <w:szCs w:val="24"/>
        </w:rPr>
        <w:t>抄录、传播试题内容，或通过图片、视频记录考试过程的行为；</w:t>
      </w:r>
    </w:p>
    <w:p>
      <w:pPr>
        <w:widowControl/>
        <w:ind w:firstLine="480" w:firstLineChars="200"/>
        <w:jc w:val="left"/>
        <w:rPr>
          <w:rFonts w:ascii="黑体" w:hAnsi="黑体" w:eastAsia="黑体"/>
          <w:sz w:val="24"/>
          <w:szCs w:val="24"/>
        </w:rPr>
      </w:pPr>
      <w:r>
        <w:rPr>
          <w:rFonts w:hint="eastAsia" w:ascii="黑体" w:hAnsi="黑体" w:eastAsia="黑体"/>
          <w:sz w:val="24"/>
          <w:szCs w:val="24"/>
        </w:rPr>
        <w:t>9</w:t>
      </w:r>
      <w:r>
        <w:rPr>
          <w:rFonts w:ascii="黑体" w:hAnsi="黑体" w:eastAsia="黑体"/>
          <w:sz w:val="24"/>
          <w:szCs w:val="24"/>
        </w:rPr>
        <w:t>.</w:t>
      </w:r>
      <w:r>
        <w:rPr>
          <w:rFonts w:hint="eastAsia" w:ascii="黑体" w:hAnsi="黑体" w:eastAsia="黑体"/>
          <w:sz w:val="24"/>
          <w:szCs w:val="24"/>
        </w:rPr>
        <w:t>考试过程中有与考试无关的行为，包括吃零食、吸烟、躺卧、自行离席休息等；</w:t>
      </w:r>
    </w:p>
    <w:p>
      <w:pPr>
        <w:widowControl/>
        <w:ind w:firstLine="480" w:firstLineChars="200"/>
        <w:jc w:val="left"/>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0.</w:t>
      </w:r>
      <w:r>
        <w:rPr>
          <w:rFonts w:hint="eastAsia" w:ascii="黑体" w:hAnsi="黑体" w:eastAsia="黑体"/>
          <w:sz w:val="24"/>
          <w:szCs w:val="24"/>
        </w:rPr>
        <w:t>除以上列举的、任何疑似违反考试公平性的行为，都可能致使考试成绩无效。</w:t>
      </w:r>
    </w:p>
    <w:p>
      <w:pPr>
        <w:widowControl/>
        <w:jc w:val="left"/>
        <w:rPr>
          <w:rFonts w:ascii="仿宋" w:hAnsi="仿宋" w:eastAsia="仿宋"/>
          <w:sz w:val="28"/>
          <w:szCs w:val="28"/>
        </w:rPr>
      </w:pPr>
    </w:p>
    <w:p>
      <w:pPr>
        <w:widowControl/>
        <w:jc w:val="left"/>
        <w:rPr>
          <w:rFonts w:ascii="仿宋" w:hAnsi="仿宋" w:eastAsia="仿宋"/>
          <w:sz w:val="28"/>
          <w:szCs w:val="28"/>
        </w:rPr>
      </w:pPr>
      <w:r>
        <w:rPr>
          <w:rFonts w:ascii="仿宋" w:hAnsi="仿宋" w:eastAsia="仿宋"/>
          <w:sz w:val="28"/>
          <w:szCs w:val="28"/>
        </w:rPr>
        <w:br w:type="page"/>
      </w:r>
    </w:p>
    <w:p>
      <w:pPr>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6</w:t>
      </w:r>
    </w:p>
    <w:p>
      <w:pPr>
        <w:widowControl/>
        <w:jc w:val="center"/>
        <w:rPr>
          <w:rFonts w:ascii="黑体" w:hAnsi="黑体" w:eastAsia="黑体"/>
          <w:b/>
          <w:bCs/>
          <w:sz w:val="32"/>
          <w:szCs w:val="32"/>
        </w:rPr>
      </w:pPr>
      <w:r>
        <w:rPr>
          <w:rFonts w:hint="eastAsia" w:ascii="黑体" w:hAnsi="黑体" w:eastAsia="黑体"/>
          <w:b/>
          <w:bCs/>
          <w:sz w:val="32"/>
          <w:szCs w:val="32"/>
        </w:rPr>
        <w:t>国家职业资格全省统一鉴定报名资格审核承诺书</w:t>
      </w:r>
    </w:p>
    <w:p>
      <w:pPr>
        <w:widowControl/>
        <w:jc w:val="center"/>
        <w:rPr>
          <w:rFonts w:ascii="黑体" w:hAnsi="黑体" w:eastAsia="黑体"/>
          <w:b/>
          <w:bCs/>
          <w:sz w:val="32"/>
          <w:szCs w:val="32"/>
        </w:rPr>
      </w:pPr>
    </w:p>
    <w:tbl>
      <w:tblPr>
        <w:tblStyle w:val="7"/>
        <w:tblpPr w:leftFromText="180" w:rightFromText="180" w:vertAnchor="text" w:tblpXSpec="left" w:tblpY="1"/>
        <w:tblOverlap w:val="never"/>
        <w:tblW w:w="87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659"/>
        <w:gridCol w:w="3113"/>
        <w:gridCol w:w="29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579" w:hRule="atLeast"/>
        </w:trPr>
        <w:tc>
          <w:tcPr>
            <w:tcW w:w="2659" w:type="dxa"/>
            <w:tcBorders>
              <w:top w:val="single" w:color="auto" w:sz="8" w:space="0"/>
              <w:left w:val="single" w:color="auto" w:sz="8" w:space="0"/>
              <w:bottom w:val="single" w:color="auto" w:sz="8"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考生数据提交单位</w:t>
            </w:r>
          </w:p>
          <w:p>
            <w:pPr>
              <w:widowControl/>
              <w:jc w:val="center"/>
              <w:rPr>
                <w:rFonts w:ascii="黑体" w:hAnsi="黑体" w:eastAsia="黑体" w:cs="宋体"/>
                <w:color w:val="000000"/>
                <w:kern w:val="0"/>
                <w:sz w:val="22"/>
              </w:rPr>
            </w:pPr>
            <w:r>
              <w:rPr>
                <w:rFonts w:ascii="黑体" w:hAnsi="黑体" w:eastAsia="黑体" w:cs="宋体"/>
                <w:color w:val="000000"/>
                <w:kern w:val="0"/>
                <w:sz w:val="22"/>
              </w:rPr>
              <w:t>（盖章）</w:t>
            </w:r>
          </w:p>
        </w:tc>
        <w:tc>
          <w:tcPr>
            <w:tcW w:w="6062" w:type="dxa"/>
            <w:gridSpan w:val="2"/>
            <w:tcBorders>
              <w:top w:val="single" w:color="auto" w:sz="8" w:space="0"/>
              <w:left w:val="nil"/>
              <w:bottom w:val="single" w:color="auto" w:sz="8" w:space="0"/>
              <w:right w:val="single" w:color="000000"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88" w:hRule="atLeast"/>
        </w:trPr>
        <w:tc>
          <w:tcPr>
            <w:tcW w:w="2659" w:type="dxa"/>
            <w:tcBorders>
              <w:top w:val="nil"/>
              <w:left w:val="single" w:color="auto" w:sz="8" w:space="0"/>
              <w:bottom w:val="single" w:color="auto" w:sz="8"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职业</w:t>
            </w:r>
          </w:p>
        </w:tc>
        <w:tc>
          <w:tcPr>
            <w:tcW w:w="3113" w:type="dxa"/>
            <w:tcBorders>
              <w:top w:val="nil"/>
              <w:left w:val="nil"/>
              <w:bottom w:val="single" w:color="auto" w:sz="8"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级别</w:t>
            </w:r>
          </w:p>
        </w:tc>
        <w:tc>
          <w:tcPr>
            <w:tcW w:w="2949" w:type="dxa"/>
            <w:tcBorders>
              <w:top w:val="nil"/>
              <w:left w:val="nil"/>
              <w:bottom w:val="single" w:color="auto" w:sz="8" w:space="0"/>
              <w:right w:val="single" w:color="auto" w:sz="8"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报名人数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95" w:hRule="atLeast"/>
        </w:trPr>
        <w:tc>
          <w:tcPr>
            <w:tcW w:w="2659" w:type="dxa"/>
            <w:vMerge w:val="restart"/>
            <w:tcBorders>
              <w:top w:val="nil"/>
              <w:left w:val="single" w:color="auto" w:sz="8" w:space="0"/>
              <w:bottom w:val="single" w:color="000000" w:sz="8"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企业人力资源管理师</w:t>
            </w:r>
          </w:p>
        </w:tc>
        <w:tc>
          <w:tcPr>
            <w:tcW w:w="3113" w:type="dxa"/>
            <w:tcBorders>
              <w:top w:val="nil"/>
              <w:left w:val="nil"/>
              <w:bottom w:val="single" w:color="auto" w:sz="4" w:space="0"/>
              <w:right w:val="single" w:color="auto" w:sz="4" w:space="0"/>
            </w:tcBorders>
            <w:vAlign w:val="center"/>
          </w:tcPr>
          <w:p>
            <w:pPr>
              <w:jc w:val="center"/>
              <w:rPr>
                <w:rFonts w:ascii="黑体" w:hAnsi="黑体" w:eastAsia="黑体"/>
                <w:bCs/>
                <w:sz w:val="22"/>
              </w:rPr>
            </w:pPr>
            <w:r>
              <w:rPr>
                <w:rFonts w:ascii="黑体" w:hAnsi="黑体" w:eastAsia="黑体"/>
                <w:bCs/>
                <w:sz w:val="22"/>
              </w:rPr>
              <w:t>一级</w:t>
            </w:r>
          </w:p>
        </w:tc>
        <w:tc>
          <w:tcPr>
            <w:tcW w:w="2949" w:type="dxa"/>
            <w:tcBorders>
              <w:top w:val="nil"/>
              <w:left w:val="nil"/>
              <w:bottom w:val="single" w:color="auto" w:sz="4" w:space="0"/>
              <w:right w:val="single" w:color="auto" w:sz="8" w:space="0"/>
            </w:tcBorders>
            <w:vAlign w:val="center"/>
          </w:tcPr>
          <w:p>
            <w:pPr>
              <w:jc w:val="center"/>
              <w:rPr>
                <w:rFonts w:ascii="黑体" w:hAnsi="黑体" w:eastAsia="黑体"/>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544" w:hRule="atLeast"/>
        </w:trPr>
        <w:tc>
          <w:tcPr>
            <w:tcW w:w="2659" w:type="dxa"/>
            <w:vMerge w:val="continue"/>
            <w:tcBorders>
              <w:top w:val="nil"/>
              <w:left w:val="single" w:color="auto" w:sz="8" w:space="0"/>
              <w:bottom w:val="single" w:color="000000" w:sz="8" w:space="0"/>
              <w:right w:val="single" w:color="auto" w:sz="4" w:space="0"/>
            </w:tcBorders>
            <w:vAlign w:val="center"/>
          </w:tcPr>
          <w:p>
            <w:pPr>
              <w:widowControl/>
              <w:jc w:val="left"/>
              <w:rPr>
                <w:rFonts w:ascii="黑体" w:hAnsi="黑体" w:eastAsia="黑体" w:cs="宋体"/>
                <w:color w:val="000000"/>
                <w:kern w:val="0"/>
                <w:sz w:val="22"/>
              </w:rPr>
            </w:pPr>
          </w:p>
        </w:tc>
        <w:tc>
          <w:tcPr>
            <w:tcW w:w="3113" w:type="dxa"/>
            <w:tcBorders>
              <w:top w:val="nil"/>
              <w:left w:val="nil"/>
              <w:bottom w:val="single" w:color="auto" w:sz="4" w:space="0"/>
              <w:right w:val="single" w:color="auto" w:sz="4" w:space="0"/>
            </w:tcBorders>
            <w:vAlign w:val="center"/>
          </w:tcPr>
          <w:p>
            <w:pPr>
              <w:jc w:val="center"/>
              <w:rPr>
                <w:rFonts w:ascii="黑体" w:hAnsi="黑体" w:eastAsia="黑体"/>
                <w:bCs/>
                <w:sz w:val="22"/>
              </w:rPr>
            </w:pPr>
            <w:r>
              <w:rPr>
                <w:rFonts w:ascii="黑体" w:hAnsi="黑体" w:eastAsia="黑体"/>
                <w:bCs/>
                <w:sz w:val="22"/>
              </w:rPr>
              <w:t>二级</w:t>
            </w:r>
          </w:p>
        </w:tc>
        <w:tc>
          <w:tcPr>
            <w:tcW w:w="2949" w:type="dxa"/>
            <w:tcBorders>
              <w:top w:val="nil"/>
              <w:left w:val="nil"/>
              <w:bottom w:val="single" w:color="auto" w:sz="4" w:space="0"/>
              <w:right w:val="single" w:color="auto"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97" w:hRule="atLeast"/>
        </w:trPr>
        <w:tc>
          <w:tcPr>
            <w:tcW w:w="2659" w:type="dxa"/>
            <w:vMerge w:val="continue"/>
            <w:tcBorders>
              <w:top w:val="nil"/>
              <w:left w:val="single" w:color="auto" w:sz="8" w:space="0"/>
              <w:bottom w:val="single" w:color="000000" w:sz="8" w:space="0"/>
              <w:right w:val="single" w:color="auto" w:sz="4" w:space="0"/>
            </w:tcBorders>
            <w:vAlign w:val="center"/>
          </w:tcPr>
          <w:p>
            <w:pPr>
              <w:widowControl/>
              <w:jc w:val="left"/>
              <w:rPr>
                <w:rFonts w:ascii="黑体" w:hAnsi="黑体" w:eastAsia="黑体" w:cs="宋体"/>
                <w:color w:val="000000"/>
                <w:kern w:val="0"/>
                <w:sz w:val="22"/>
              </w:rPr>
            </w:pPr>
          </w:p>
        </w:tc>
        <w:tc>
          <w:tcPr>
            <w:tcW w:w="3113" w:type="dxa"/>
            <w:tcBorders>
              <w:top w:val="nil"/>
              <w:left w:val="nil"/>
              <w:bottom w:val="single" w:color="auto" w:sz="4" w:space="0"/>
              <w:right w:val="single" w:color="auto" w:sz="4" w:space="0"/>
            </w:tcBorders>
            <w:vAlign w:val="center"/>
          </w:tcPr>
          <w:p>
            <w:pPr>
              <w:jc w:val="center"/>
              <w:rPr>
                <w:rFonts w:ascii="黑体" w:hAnsi="黑体" w:eastAsia="黑体"/>
                <w:bCs/>
                <w:sz w:val="22"/>
              </w:rPr>
            </w:pPr>
            <w:r>
              <w:rPr>
                <w:rFonts w:ascii="黑体" w:hAnsi="黑体" w:eastAsia="黑体"/>
                <w:bCs/>
                <w:sz w:val="22"/>
              </w:rPr>
              <w:t>三级</w:t>
            </w:r>
          </w:p>
        </w:tc>
        <w:tc>
          <w:tcPr>
            <w:tcW w:w="2949" w:type="dxa"/>
            <w:tcBorders>
              <w:top w:val="nil"/>
              <w:left w:val="nil"/>
              <w:bottom w:val="single" w:color="auto" w:sz="4" w:space="0"/>
              <w:right w:val="single" w:color="auto"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28" w:hRule="atLeast"/>
        </w:trPr>
        <w:tc>
          <w:tcPr>
            <w:tcW w:w="2659" w:type="dxa"/>
            <w:vMerge w:val="continue"/>
            <w:tcBorders>
              <w:top w:val="nil"/>
              <w:left w:val="single" w:color="auto" w:sz="8" w:space="0"/>
              <w:bottom w:val="single" w:color="000000" w:sz="8" w:space="0"/>
              <w:right w:val="single" w:color="auto" w:sz="4" w:space="0"/>
            </w:tcBorders>
            <w:vAlign w:val="center"/>
          </w:tcPr>
          <w:p>
            <w:pPr>
              <w:widowControl/>
              <w:jc w:val="left"/>
              <w:rPr>
                <w:rFonts w:ascii="黑体" w:hAnsi="黑体" w:eastAsia="黑体" w:cs="宋体"/>
                <w:color w:val="000000"/>
                <w:kern w:val="0"/>
                <w:sz w:val="22"/>
              </w:rPr>
            </w:pPr>
          </w:p>
        </w:tc>
        <w:tc>
          <w:tcPr>
            <w:tcW w:w="3113" w:type="dxa"/>
            <w:tcBorders>
              <w:top w:val="nil"/>
              <w:left w:val="nil"/>
              <w:bottom w:val="single" w:color="auto" w:sz="8" w:space="0"/>
              <w:right w:val="single" w:color="auto" w:sz="4" w:space="0"/>
            </w:tcBorders>
            <w:vAlign w:val="center"/>
          </w:tcPr>
          <w:p>
            <w:pPr>
              <w:jc w:val="center"/>
              <w:rPr>
                <w:rFonts w:ascii="黑体" w:hAnsi="黑体" w:eastAsia="黑体"/>
                <w:bCs/>
                <w:sz w:val="22"/>
              </w:rPr>
            </w:pPr>
            <w:r>
              <w:rPr>
                <w:rFonts w:ascii="黑体" w:hAnsi="黑体" w:eastAsia="黑体"/>
                <w:bCs/>
                <w:sz w:val="22"/>
              </w:rPr>
              <w:t>四级</w:t>
            </w:r>
          </w:p>
        </w:tc>
        <w:tc>
          <w:tcPr>
            <w:tcW w:w="2949" w:type="dxa"/>
            <w:tcBorders>
              <w:top w:val="nil"/>
              <w:left w:val="nil"/>
              <w:bottom w:val="single" w:color="auto" w:sz="8" w:space="0"/>
              <w:right w:val="single" w:color="auto"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24" w:hRule="atLeast"/>
        </w:trPr>
        <w:tc>
          <w:tcPr>
            <w:tcW w:w="2659" w:type="dxa"/>
            <w:vMerge w:val="restart"/>
            <w:tcBorders>
              <w:top w:val="nil"/>
              <w:left w:val="single" w:color="auto" w:sz="8" w:space="0"/>
              <w:bottom w:val="single" w:color="000000" w:sz="8" w:space="0"/>
              <w:right w:val="single" w:color="auto" w:sz="4" w:space="0"/>
            </w:tcBorders>
            <w:vAlign w:val="center"/>
          </w:tcPr>
          <w:p>
            <w:pPr>
              <w:widowControl/>
              <w:jc w:val="center"/>
              <w:rPr>
                <w:rFonts w:ascii="黑体" w:hAnsi="黑体" w:eastAsia="黑体" w:cs="宋体"/>
                <w:color w:val="000000"/>
                <w:kern w:val="0"/>
                <w:sz w:val="22"/>
              </w:rPr>
            </w:pPr>
            <w:r>
              <w:rPr>
                <w:rFonts w:ascii="黑体" w:hAnsi="黑体" w:eastAsia="黑体" w:cs="宋体"/>
                <w:color w:val="000000"/>
                <w:kern w:val="0"/>
                <w:sz w:val="22"/>
              </w:rPr>
              <w:t>育婴员</w:t>
            </w:r>
          </w:p>
        </w:tc>
        <w:tc>
          <w:tcPr>
            <w:tcW w:w="3113" w:type="dxa"/>
            <w:tcBorders>
              <w:top w:val="nil"/>
              <w:left w:val="nil"/>
              <w:bottom w:val="single" w:color="auto" w:sz="4" w:space="0"/>
              <w:right w:val="single" w:color="auto" w:sz="4" w:space="0"/>
            </w:tcBorders>
            <w:vAlign w:val="center"/>
          </w:tcPr>
          <w:p>
            <w:pPr>
              <w:jc w:val="center"/>
              <w:rPr>
                <w:rFonts w:ascii="黑体" w:hAnsi="黑体" w:eastAsia="黑体"/>
                <w:bCs/>
                <w:sz w:val="22"/>
              </w:rPr>
            </w:pPr>
            <w:r>
              <w:rPr>
                <w:rFonts w:ascii="黑体" w:hAnsi="黑体" w:eastAsia="黑体"/>
                <w:bCs/>
                <w:sz w:val="22"/>
              </w:rPr>
              <w:t>三级</w:t>
            </w:r>
          </w:p>
        </w:tc>
        <w:tc>
          <w:tcPr>
            <w:tcW w:w="2949" w:type="dxa"/>
            <w:tcBorders>
              <w:top w:val="nil"/>
              <w:left w:val="nil"/>
              <w:bottom w:val="single" w:color="auto" w:sz="4" w:space="0"/>
              <w:right w:val="single" w:color="auto"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98" w:hRule="atLeast"/>
        </w:trPr>
        <w:tc>
          <w:tcPr>
            <w:tcW w:w="2659" w:type="dxa"/>
            <w:vMerge w:val="continue"/>
            <w:tcBorders>
              <w:top w:val="nil"/>
              <w:left w:val="single" w:color="auto" w:sz="8" w:space="0"/>
              <w:bottom w:val="single" w:color="000000" w:sz="8" w:space="0"/>
              <w:right w:val="single" w:color="auto" w:sz="4" w:space="0"/>
            </w:tcBorders>
            <w:vAlign w:val="center"/>
          </w:tcPr>
          <w:p>
            <w:pPr>
              <w:widowControl/>
              <w:jc w:val="left"/>
              <w:rPr>
                <w:rFonts w:ascii="黑体" w:hAnsi="黑体" w:eastAsia="黑体" w:cs="宋体"/>
                <w:color w:val="000000"/>
                <w:kern w:val="0"/>
                <w:sz w:val="22"/>
              </w:rPr>
            </w:pPr>
          </w:p>
        </w:tc>
        <w:tc>
          <w:tcPr>
            <w:tcW w:w="3113" w:type="dxa"/>
            <w:tcBorders>
              <w:top w:val="nil"/>
              <w:left w:val="nil"/>
              <w:bottom w:val="single" w:color="auto" w:sz="4" w:space="0"/>
              <w:right w:val="single" w:color="auto" w:sz="4" w:space="0"/>
            </w:tcBorders>
            <w:vAlign w:val="center"/>
          </w:tcPr>
          <w:p>
            <w:pPr>
              <w:jc w:val="center"/>
              <w:rPr>
                <w:rFonts w:ascii="黑体" w:hAnsi="黑体" w:eastAsia="黑体"/>
                <w:bCs/>
                <w:sz w:val="22"/>
              </w:rPr>
            </w:pPr>
            <w:r>
              <w:rPr>
                <w:rFonts w:hint="eastAsia" w:ascii="黑体" w:hAnsi="黑体" w:eastAsia="黑体"/>
                <w:bCs/>
                <w:sz w:val="22"/>
              </w:rPr>
              <w:t>四级</w:t>
            </w:r>
          </w:p>
        </w:tc>
        <w:tc>
          <w:tcPr>
            <w:tcW w:w="2949" w:type="dxa"/>
            <w:tcBorders>
              <w:top w:val="nil"/>
              <w:left w:val="nil"/>
              <w:bottom w:val="single" w:color="auto" w:sz="4" w:space="0"/>
              <w:right w:val="single" w:color="auto"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98" w:hRule="atLeast"/>
        </w:trPr>
        <w:tc>
          <w:tcPr>
            <w:tcW w:w="2659" w:type="dxa"/>
            <w:vMerge w:val="continue"/>
            <w:tcBorders>
              <w:top w:val="nil"/>
              <w:left w:val="single" w:color="auto" w:sz="8" w:space="0"/>
              <w:bottom w:val="single" w:color="auto" w:sz="8" w:space="0"/>
              <w:right w:val="single" w:color="auto" w:sz="4" w:space="0"/>
            </w:tcBorders>
            <w:vAlign w:val="center"/>
          </w:tcPr>
          <w:p>
            <w:pPr>
              <w:widowControl/>
              <w:jc w:val="left"/>
              <w:rPr>
                <w:rFonts w:ascii="黑体" w:hAnsi="黑体" w:eastAsia="黑体" w:cs="宋体"/>
                <w:color w:val="000000"/>
                <w:kern w:val="0"/>
                <w:sz w:val="22"/>
              </w:rPr>
            </w:pPr>
          </w:p>
        </w:tc>
        <w:tc>
          <w:tcPr>
            <w:tcW w:w="3113" w:type="dxa"/>
            <w:tcBorders>
              <w:top w:val="nil"/>
              <w:left w:val="nil"/>
              <w:bottom w:val="single" w:color="auto" w:sz="8" w:space="0"/>
              <w:right w:val="single" w:color="auto" w:sz="4" w:space="0"/>
            </w:tcBorders>
            <w:vAlign w:val="center"/>
          </w:tcPr>
          <w:p>
            <w:pPr>
              <w:jc w:val="center"/>
              <w:rPr>
                <w:rFonts w:ascii="黑体" w:hAnsi="黑体" w:eastAsia="黑体"/>
                <w:bCs/>
                <w:sz w:val="22"/>
              </w:rPr>
            </w:pPr>
            <w:r>
              <w:rPr>
                <w:rFonts w:hint="eastAsia" w:ascii="黑体" w:hAnsi="黑体" w:eastAsia="黑体"/>
                <w:bCs/>
                <w:sz w:val="22"/>
              </w:rPr>
              <w:t>五</w:t>
            </w:r>
            <w:r>
              <w:rPr>
                <w:rFonts w:ascii="黑体" w:hAnsi="黑体" w:eastAsia="黑体"/>
                <w:bCs/>
                <w:sz w:val="22"/>
              </w:rPr>
              <w:t>级</w:t>
            </w:r>
          </w:p>
        </w:tc>
        <w:tc>
          <w:tcPr>
            <w:tcW w:w="2949" w:type="dxa"/>
            <w:tcBorders>
              <w:top w:val="nil"/>
              <w:left w:val="nil"/>
              <w:bottom w:val="single" w:color="auto" w:sz="8" w:space="0"/>
              <w:right w:val="single" w:color="auto"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4" w:hRule="atLeast"/>
        </w:trPr>
        <w:tc>
          <w:tcPr>
            <w:tcW w:w="2659" w:type="dxa"/>
            <w:vMerge w:val="restart"/>
            <w:tcBorders>
              <w:top w:val="single" w:color="auto" w:sz="8" w:space="0"/>
              <w:left w:val="single" w:color="auto" w:sz="8" w:space="0"/>
              <w:bottom w:val="single" w:color="auto" w:sz="6" w:space="0"/>
              <w:right w:val="single" w:color="auto" w:sz="6" w:space="0"/>
            </w:tcBorders>
            <w:vAlign w:val="center"/>
          </w:tcPr>
          <w:p>
            <w:pPr>
              <w:jc w:val="center"/>
              <w:rPr>
                <w:rFonts w:ascii="黑体" w:hAnsi="黑体" w:eastAsia="黑体"/>
                <w:kern w:val="0"/>
                <w:sz w:val="22"/>
              </w:rPr>
            </w:pPr>
            <w:r>
              <w:rPr>
                <w:rFonts w:ascii="黑体" w:hAnsi="黑体" w:eastAsia="黑体"/>
                <w:kern w:val="0"/>
                <w:sz w:val="22"/>
              </w:rPr>
              <w:t>劳动关系协调员</w:t>
            </w:r>
          </w:p>
        </w:tc>
        <w:tc>
          <w:tcPr>
            <w:tcW w:w="3113" w:type="dxa"/>
            <w:tcBorders>
              <w:top w:val="single" w:color="auto" w:sz="8" w:space="0"/>
              <w:left w:val="single" w:color="auto" w:sz="6" w:space="0"/>
              <w:bottom w:val="single" w:color="auto" w:sz="6" w:space="0"/>
              <w:right w:val="single" w:color="auto" w:sz="6" w:space="0"/>
            </w:tcBorders>
            <w:vAlign w:val="center"/>
          </w:tcPr>
          <w:p>
            <w:pPr>
              <w:jc w:val="center"/>
              <w:rPr>
                <w:rFonts w:ascii="黑体" w:hAnsi="黑体" w:eastAsia="黑体"/>
                <w:bCs/>
                <w:sz w:val="22"/>
              </w:rPr>
            </w:pPr>
            <w:r>
              <w:rPr>
                <w:rFonts w:ascii="黑体" w:hAnsi="黑体" w:eastAsia="黑体"/>
                <w:bCs/>
                <w:sz w:val="22"/>
              </w:rPr>
              <w:t>一级</w:t>
            </w:r>
          </w:p>
        </w:tc>
        <w:tc>
          <w:tcPr>
            <w:tcW w:w="2949" w:type="dxa"/>
            <w:tcBorders>
              <w:top w:val="single" w:color="auto" w:sz="8" w:space="0"/>
              <w:left w:val="single" w:color="auto" w:sz="6" w:space="0"/>
              <w:bottom w:val="single" w:color="auto" w:sz="6" w:space="0"/>
              <w:right w:val="single" w:color="auto"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74" w:hRule="atLeast"/>
        </w:trPr>
        <w:tc>
          <w:tcPr>
            <w:tcW w:w="2659" w:type="dxa"/>
            <w:vMerge w:val="continue"/>
            <w:tcBorders>
              <w:top w:val="single" w:color="auto" w:sz="6" w:space="0"/>
              <w:left w:val="single" w:color="auto" w:sz="8" w:space="0"/>
              <w:bottom w:val="single" w:color="auto" w:sz="6" w:space="0"/>
              <w:right w:val="single" w:color="auto" w:sz="6" w:space="0"/>
            </w:tcBorders>
            <w:vAlign w:val="center"/>
          </w:tcPr>
          <w:p>
            <w:pPr>
              <w:widowControl/>
              <w:jc w:val="left"/>
              <w:rPr>
                <w:rFonts w:ascii="黑体" w:hAnsi="黑体" w:eastAsia="黑体" w:cs="宋体"/>
                <w:color w:val="000000"/>
                <w:kern w:val="0"/>
                <w:sz w:val="22"/>
              </w:rPr>
            </w:pPr>
          </w:p>
        </w:tc>
        <w:tc>
          <w:tcPr>
            <w:tcW w:w="3113"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bCs/>
                <w:sz w:val="22"/>
              </w:rPr>
            </w:pPr>
            <w:r>
              <w:rPr>
                <w:rFonts w:ascii="黑体" w:hAnsi="黑体" w:eastAsia="黑体"/>
                <w:bCs/>
                <w:sz w:val="22"/>
              </w:rPr>
              <w:t>二级</w:t>
            </w:r>
          </w:p>
        </w:tc>
        <w:tc>
          <w:tcPr>
            <w:tcW w:w="2949" w:type="dxa"/>
            <w:tcBorders>
              <w:top w:val="single" w:color="auto" w:sz="6" w:space="0"/>
              <w:left w:val="single" w:color="auto" w:sz="6" w:space="0"/>
              <w:bottom w:val="single" w:color="auto" w:sz="6" w:space="0"/>
              <w:right w:val="single" w:color="auto"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88" w:hRule="atLeast"/>
        </w:trPr>
        <w:tc>
          <w:tcPr>
            <w:tcW w:w="2659" w:type="dxa"/>
            <w:vMerge w:val="continue"/>
            <w:tcBorders>
              <w:top w:val="single" w:color="auto" w:sz="6" w:space="0"/>
              <w:left w:val="single" w:color="auto" w:sz="8" w:space="0"/>
              <w:bottom w:val="single" w:color="auto" w:sz="8" w:space="0"/>
              <w:right w:val="single" w:color="auto" w:sz="6" w:space="0"/>
            </w:tcBorders>
            <w:vAlign w:val="center"/>
          </w:tcPr>
          <w:p>
            <w:pPr>
              <w:widowControl/>
              <w:jc w:val="left"/>
              <w:rPr>
                <w:rFonts w:ascii="黑体" w:hAnsi="黑体" w:eastAsia="黑体" w:cs="宋体"/>
                <w:color w:val="000000"/>
                <w:kern w:val="0"/>
                <w:sz w:val="22"/>
              </w:rPr>
            </w:pPr>
          </w:p>
        </w:tc>
        <w:tc>
          <w:tcPr>
            <w:tcW w:w="3113" w:type="dxa"/>
            <w:tcBorders>
              <w:top w:val="single" w:color="auto" w:sz="6" w:space="0"/>
              <w:left w:val="single" w:color="auto" w:sz="6" w:space="0"/>
              <w:bottom w:val="single" w:color="auto" w:sz="8" w:space="0"/>
              <w:right w:val="single" w:color="auto" w:sz="6" w:space="0"/>
            </w:tcBorders>
            <w:vAlign w:val="center"/>
          </w:tcPr>
          <w:p>
            <w:pPr>
              <w:jc w:val="center"/>
              <w:rPr>
                <w:rFonts w:ascii="黑体" w:hAnsi="黑体" w:eastAsia="黑体"/>
                <w:bCs/>
                <w:sz w:val="22"/>
              </w:rPr>
            </w:pPr>
            <w:r>
              <w:rPr>
                <w:rFonts w:ascii="黑体" w:hAnsi="黑体" w:eastAsia="黑体"/>
                <w:bCs/>
                <w:sz w:val="22"/>
              </w:rPr>
              <w:t>三级</w:t>
            </w:r>
          </w:p>
        </w:tc>
        <w:tc>
          <w:tcPr>
            <w:tcW w:w="2949" w:type="dxa"/>
            <w:tcBorders>
              <w:top w:val="single" w:color="auto" w:sz="6" w:space="0"/>
              <w:left w:val="single" w:color="auto" w:sz="6" w:space="0"/>
              <w:bottom w:val="single" w:color="auto" w:sz="8" w:space="0"/>
              <w:right w:val="single" w:color="auto" w:sz="8" w:space="0"/>
            </w:tcBorders>
            <w:vAlign w:val="center"/>
          </w:tcPr>
          <w:p>
            <w:pPr>
              <w:widowControl/>
              <w:jc w:val="center"/>
              <w:rPr>
                <w:rFonts w:ascii="黑体" w:hAnsi="黑体" w:eastAsia="黑体"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5760" w:hRule="atLeast"/>
        </w:trPr>
        <w:tc>
          <w:tcPr>
            <w:tcW w:w="8721" w:type="dxa"/>
            <w:gridSpan w:val="3"/>
            <w:tcBorders>
              <w:top w:val="single" w:color="auto" w:sz="8" w:space="0"/>
              <w:left w:val="single" w:color="auto" w:sz="8" w:space="0"/>
              <w:bottom w:val="single" w:color="auto" w:sz="8" w:space="0"/>
              <w:right w:val="single" w:color="000000" w:sz="8" w:space="0"/>
            </w:tcBorders>
            <w:vAlign w:val="center"/>
          </w:tcPr>
          <w:p>
            <w:pPr>
              <w:widowControl/>
              <w:jc w:val="left"/>
              <w:rPr>
                <w:rFonts w:ascii="黑体" w:hAnsi="黑体" w:eastAsia="黑体" w:cs="宋体"/>
                <w:b/>
                <w:bCs/>
                <w:color w:val="000000"/>
                <w:kern w:val="0"/>
                <w:sz w:val="22"/>
              </w:rPr>
            </w:pPr>
            <w:r>
              <w:rPr>
                <w:rFonts w:hint="eastAsia" w:ascii="黑体" w:hAnsi="黑体" w:eastAsia="黑体" w:cs="宋体"/>
                <w:b/>
                <w:bCs/>
                <w:color w:val="000000"/>
                <w:kern w:val="0"/>
                <w:sz w:val="22"/>
              </w:rPr>
              <w:t>承诺：</w:t>
            </w:r>
          </w:p>
          <w:p>
            <w:pPr>
              <w:rPr>
                <w:rFonts w:ascii="黑体" w:hAnsi="黑体" w:eastAsia="黑体"/>
                <w:b/>
                <w:sz w:val="22"/>
              </w:rPr>
            </w:pPr>
            <w:r>
              <w:rPr>
                <w:rFonts w:hint="eastAsia" w:ascii="黑体" w:hAnsi="黑体" w:eastAsia="黑体"/>
                <w:b/>
                <w:sz w:val="22"/>
              </w:rPr>
              <w:t>本机构提交的考生数据均符合现行国家职业技能标准报名资格 。若存在伪造或虚假成分，本机构愿意接受取消参加技能鉴定资格或取消相关考试成绩等处理结果，如有涉嫌违法，也愿意承担相应的法律责任</w:t>
            </w:r>
          </w:p>
          <w:p>
            <w:pPr>
              <w:jc w:val="left"/>
              <w:rPr>
                <w:rFonts w:ascii="黑体" w:hAnsi="黑体" w:eastAsia="黑体" w:cs="宋体"/>
                <w:color w:val="000000"/>
                <w:kern w:val="0"/>
                <w:sz w:val="22"/>
              </w:rPr>
            </w:pPr>
            <w:r>
              <w:rPr>
                <w:rFonts w:hint="eastAsia" w:ascii="黑体" w:hAnsi="黑体" w:eastAsia="黑体" w:cs="宋体"/>
                <w:color w:val="000000"/>
                <w:kern w:val="0"/>
                <w:sz w:val="22"/>
              </w:rPr>
              <w:t>请报名机构负责人手书以上内容：</w:t>
            </w:r>
            <w:r>
              <w:rPr>
                <w:rFonts w:hint="eastAsia" w:ascii="黑体" w:hAnsi="黑体" w:eastAsia="黑体" w:cs="宋体"/>
                <w:color w:val="000000"/>
                <w:kern w:val="0"/>
                <w:sz w:val="22"/>
              </w:rPr>
              <w:br/>
            </w:r>
            <w:r>
              <w:rPr>
                <w:rFonts w:hint="eastAsia" w:ascii="黑体" w:hAnsi="黑体" w:eastAsia="黑体" w:cs="宋体"/>
                <w:color w:val="000000"/>
                <w:kern w:val="0"/>
                <w:sz w:val="22"/>
              </w:rPr>
              <w:br/>
            </w:r>
          </w:p>
          <w:p>
            <w:pPr>
              <w:jc w:val="left"/>
              <w:rPr>
                <w:rFonts w:ascii="黑体" w:hAnsi="黑体" w:eastAsia="黑体" w:cs="宋体"/>
                <w:color w:val="000000"/>
                <w:kern w:val="0"/>
                <w:sz w:val="22"/>
              </w:rPr>
            </w:pPr>
          </w:p>
          <w:p>
            <w:pPr>
              <w:jc w:val="left"/>
              <w:rPr>
                <w:rFonts w:ascii="黑体" w:hAnsi="黑体" w:eastAsia="黑体" w:cs="宋体"/>
                <w:color w:val="000000"/>
                <w:kern w:val="0"/>
                <w:sz w:val="22"/>
              </w:rPr>
            </w:pPr>
          </w:p>
          <w:p>
            <w:pPr>
              <w:ind w:firstLine="6160" w:firstLineChars="2800"/>
              <w:jc w:val="left"/>
              <w:rPr>
                <w:rFonts w:ascii="黑体" w:hAnsi="黑体" w:eastAsia="黑体" w:cs="宋体"/>
                <w:color w:val="000000"/>
                <w:kern w:val="0"/>
                <w:sz w:val="22"/>
              </w:rPr>
            </w:pPr>
            <w:r>
              <w:rPr>
                <w:rFonts w:hint="eastAsia" w:ascii="黑体" w:hAnsi="黑体" w:eastAsia="黑体" w:cs="宋体"/>
                <w:color w:val="000000"/>
                <w:kern w:val="0"/>
                <w:sz w:val="22"/>
              </w:rPr>
              <w:t>签名：</w:t>
            </w:r>
          </w:p>
          <w:p>
            <w:pPr>
              <w:ind w:firstLine="6160" w:firstLineChars="2800"/>
              <w:jc w:val="left"/>
              <w:rPr>
                <w:rFonts w:ascii="黑体" w:hAnsi="黑体" w:eastAsia="黑体" w:cs="宋体"/>
                <w:color w:val="000000"/>
                <w:kern w:val="0"/>
                <w:sz w:val="22"/>
              </w:rPr>
            </w:pPr>
            <w:r>
              <w:rPr>
                <w:rFonts w:hint="eastAsia" w:ascii="黑体" w:hAnsi="黑体" w:eastAsia="黑体" w:cs="宋体"/>
                <w:color w:val="000000"/>
                <w:kern w:val="0"/>
                <w:sz w:val="22"/>
              </w:rPr>
              <w:t xml:space="preserve">年 </w:t>
            </w:r>
            <w:r>
              <w:rPr>
                <w:rFonts w:ascii="黑体" w:hAnsi="黑体" w:eastAsia="黑体" w:cs="宋体"/>
                <w:color w:val="000000"/>
                <w:kern w:val="0"/>
                <w:sz w:val="22"/>
              </w:rPr>
              <w:t xml:space="preserve"> </w:t>
            </w:r>
            <w:r>
              <w:rPr>
                <w:rFonts w:hint="eastAsia" w:ascii="黑体" w:hAnsi="黑体" w:eastAsia="黑体" w:cs="宋体"/>
                <w:color w:val="000000"/>
                <w:kern w:val="0"/>
                <w:sz w:val="22"/>
              </w:rPr>
              <w:t xml:space="preserve"> 月 </w:t>
            </w:r>
            <w:r>
              <w:rPr>
                <w:rFonts w:ascii="黑体" w:hAnsi="黑体" w:eastAsia="黑体" w:cs="宋体"/>
                <w:color w:val="000000"/>
                <w:kern w:val="0"/>
                <w:sz w:val="22"/>
              </w:rPr>
              <w:t xml:space="preserve">  </w:t>
            </w:r>
            <w:r>
              <w:rPr>
                <w:rFonts w:hint="eastAsia" w:ascii="黑体" w:hAnsi="黑体" w:eastAsia="黑体" w:cs="宋体"/>
                <w:color w:val="000000"/>
                <w:kern w:val="0"/>
                <w:sz w:val="22"/>
              </w:rPr>
              <w:t>日</w:t>
            </w:r>
          </w:p>
        </w:tc>
      </w:tr>
    </w:tbl>
    <w:p>
      <w:pPr>
        <w:widowControl/>
        <w:jc w:val="left"/>
        <w:rPr>
          <w:rFonts w:ascii="仿宋" w:hAnsi="仿宋" w:eastAsia="仿宋"/>
          <w:sz w:val="28"/>
          <w:szCs w:val="28"/>
        </w:rPr>
      </w:pPr>
    </w:p>
    <w:p>
      <w:pPr>
        <w:widowControl/>
        <w:jc w:val="lef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7</w:t>
      </w:r>
    </w:p>
    <w:p>
      <w:pPr>
        <w:widowControl/>
        <w:jc w:val="center"/>
        <w:rPr>
          <w:rFonts w:ascii="黑体" w:hAnsi="黑体" w:eastAsia="黑体"/>
          <w:b/>
          <w:bCs/>
          <w:sz w:val="32"/>
          <w:szCs w:val="32"/>
        </w:rPr>
      </w:pPr>
      <w:r>
        <w:rPr>
          <w:rFonts w:hint="eastAsia" w:ascii="黑体" w:hAnsi="黑体" w:eastAsia="黑体"/>
          <w:b/>
          <w:bCs/>
          <w:sz w:val="32"/>
          <w:szCs w:val="32"/>
        </w:rPr>
        <w:t>国家职业资格全省统一鉴定职业申报条件</w:t>
      </w:r>
    </w:p>
    <w:p>
      <w:pPr>
        <w:widowControl/>
        <w:jc w:val="left"/>
        <w:rPr>
          <w:rFonts w:ascii="黑体" w:hAnsi="黑体" w:eastAsia="黑体"/>
          <w:b/>
          <w:bCs/>
          <w:sz w:val="24"/>
          <w:szCs w:val="24"/>
        </w:rPr>
      </w:pPr>
      <w:r>
        <w:rPr>
          <w:rFonts w:hint="eastAsia" w:ascii="黑体" w:hAnsi="黑体" w:eastAsia="黑体"/>
          <w:b/>
          <w:bCs/>
          <w:sz w:val="24"/>
          <w:szCs w:val="24"/>
        </w:rPr>
        <w:t>一、企业人力资源管理师：</w:t>
      </w:r>
    </w:p>
    <w:p>
      <w:pPr>
        <w:widowControl/>
        <w:jc w:val="left"/>
        <w:rPr>
          <w:rFonts w:ascii="黑体" w:hAnsi="黑体" w:eastAsia="黑体"/>
          <w:sz w:val="24"/>
          <w:szCs w:val="24"/>
        </w:rPr>
      </w:pPr>
      <w:r>
        <w:rPr>
          <w:rFonts w:hint="eastAsia" w:ascii="黑体" w:hAnsi="黑体" w:eastAsia="黑体"/>
          <w:sz w:val="24"/>
          <w:szCs w:val="24"/>
        </w:rPr>
        <w:t>具备以下条件之一者，可申报四级</w:t>
      </w:r>
      <w:r>
        <w:rPr>
          <w:rFonts w:ascii="黑体" w:hAnsi="黑体" w:eastAsia="黑体"/>
          <w:sz w:val="24"/>
          <w:szCs w:val="24"/>
        </w:rPr>
        <w:t>/中级工:</w:t>
      </w:r>
    </w:p>
    <w:p>
      <w:pPr>
        <w:widowControl/>
        <w:jc w:val="left"/>
        <w:rPr>
          <w:rFonts w:ascii="黑体" w:hAnsi="黑体" w:eastAsia="黑体"/>
          <w:sz w:val="24"/>
          <w:szCs w:val="24"/>
        </w:rPr>
      </w:pPr>
      <w:r>
        <w:rPr>
          <w:rFonts w:ascii="黑体" w:hAnsi="黑体" w:eastAsia="黑体"/>
          <w:sz w:val="24"/>
          <w:szCs w:val="24"/>
        </w:rPr>
        <w:t>(１) 累计从事本职业或相关职业</w:t>
      </w:r>
      <w:r>
        <w:rPr>
          <w:rFonts w:ascii="黑体" w:hAnsi="黑体" w:eastAsia="黑体"/>
          <w:sz w:val="24"/>
          <w:szCs w:val="24"/>
          <w:vertAlign w:val="superscript"/>
        </w:rPr>
        <w:t>①</w:t>
      </w:r>
      <w:r>
        <w:rPr>
          <w:rFonts w:ascii="黑体" w:hAnsi="黑体" w:eastAsia="黑体"/>
          <w:sz w:val="24"/>
          <w:szCs w:val="24"/>
        </w:rPr>
        <w:t>工作４年(含)以上。</w:t>
      </w:r>
    </w:p>
    <w:p>
      <w:pPr>
        <w:widowControl/>
        <w:jc w:val="left"/>
        <w:rPr>
          <w:rFonts w:ascii="黑体" w:hAnsi="黑体" w:eastAsia="黑体"/>
          <w:sz w:val="24"/>
          <w:szCs w:val="24"/>
        </w:rPr>
      </w:pPr>
      <w:r>
        <w:rPr>
          <w:rFonts w:ascii="黑体" w:hAnsi="黑体" w:eastAsia="黑体"/>
          <w:sz w:val="24"/>
          <w:szCs w:val="24"/>
        </w:rPr>
        <w:t>(２) 取得技工学校本专业或相关专业</w:t>
      </w:r>
      <w:r>
        <w:rPr>
          <w:rFonts w:ascii="黑体" w:hAnsi="黑体" w:eastAsia="黑体"/>
          <w:sz w:val="24"/>
          <w:szCs w:val="24"/>
          <w:vertAlign w:val="superscript"/>
        </w:rPr>
        <w:t>②</w:t>
      </w:r>
      <w:r>
        <w:rPr>
          <w:rFonts w:ascii="黑体" w:hAnsi="黑体" w:eastAsia="黑体"/>
          <w:sz w:val="24"/>
          <w:szCs w:val="24"/>
        </w:rPr>
        <w:t>毕业证书(含尚未取得毕业证书的在校应届毕业生)；或取得经评估论证、以中级技能为培养目标的中等及以上职业学校本专业或相关专业毕业证书(含尚未取得毕业证书的在校应届毕业生)。</w:t>
      </w:r>
    </w:p>
    <w:p>
      <w:pPr>
        <w:widowControl/>
        <w:jc w:val="left"/>
        <w:rPr>
          <w:rFonts w:ascii="黑体" w:hAnsi="黑体" w:eastAsia="黑体"/>
          <w:sz w:val="24"/>
          <w:szCs w:val="24"/>
        </w:rPr>
      </w:pPr>
      <w:r>
        <w:rPr>
          <w:rFonts w:ascii="黑体" w:hAnsi="黑体" w:eastAsia="黑体"/>
          <w:sz w:val="24"/>
          <w:szCs w:val="24"/>
        </w:rPr>
        <w:t>(３) 高等院校本专业或相关专业在校生。</w:t>
      </w:r>
    </w:p>
    <w:p>
      <w:pPr>
        <w:widowControl/>
        <w:jc w:val="left"/>
        <w:rPr>
          <w:rFonts w:ascii="黑体" w:hAnsi="黑体" w:eastAsia="黑体"/>
          <w:sz w:val="24"/>
          <w:szCs w:val="24"/>
        </w:rPr>
      </w:pPr>
    </w:p>
    <w:p>
      <w:pPr>
        <w:widowControl/>
        <w:jc w:val="left"/>
        <w:rPr>
          <w:rFonts w:ascii="黑体" w:hAnsi="黑体" w:eastAsia="黑体"/>
          <w:sz w:val="24"/>
          <w:szCs w:val="24"/>
        </w:rPr>
      </w:pPr>
      <w:r>
        <w:rPr>
          <w:rFonts w:hint="eastAsia" w:ascii="黑体" w:hAnsi="黑体" w:eastAsia="黑体"/>
          <w:sz w:val="24"/>
          <w:szCs w:val="24"/>
        </w:rPr>
        <w:t>具备以下条件之一者，可申报三级</w:t>
      </w:r>
      <w:r>
        <w:rPr>
          <w:rFonts w:ascii="黑体" w:hAnsi="黑体" w:eastAsia="黑体"/>
          <w:sz w:val="24"/>
          <w:szCs w:val="24"/>
        </w:rPr>
        <w:t>/高级工:</w:t>
      </w:r>
    </w:p>
    <w:p>
      <w:pPr>
        <w:widowControl/>
        <w:jc w:val="left"/>
        <w:rPr>
          <w:rFonts w:ascii="黑体" w:hAnsi="黑体" w:eastAsia="黑体"/>
          <w:sz w:val="24"/>
          <w:szCs w:val="24"/>
        </w:rPr>
      </w:pPr>
      <w:r>
        <w:rPr>
          <w:rFonts w:ascii="黑体" w:hAnsi="黑体" w:eastAsia="黑体"/>
          <w:sz w:val="24"/>
          <w:szCs w:val="24"/>
        </w:rPr>
        <w:t>(１) 取得本职业或相关职业四级/中级工职业资格证书(技能等级证书)</w:t>
      </w:r>
      <w:r>
        <w:rPr>
          <w:rFonts w:ascii="黑体" w:hAnsi="黑体" w:eastAsia="黑体"/>
          <w:sz w:val="24"/>
          <w:szCs w:val="24"/>
          <w:vertAlign w:val="superscript"/>
        </w:rPr>
        <w:t>③</w:t>
      </w:r>
      <w:r>
        <w:rPr>
          <w:rFonts w:ascii="黑体" w:hAnsi="黑体" w:eastAsia="黑体"/>
          <w:sz w:val="24"/>
          <w:szCs w:val="24"/>
        </w:rPr>
        <w:t xml:space="preserve"> 后，累计从事本职业或相关职业工作５年(含)以上。</w:t>
      </w:r>
    </w:p>
    <w:p>
      <w:pPr>
        <w:widowControl/>
        <w:jc w:val="left"/>
        <w:rPr>
          <w:rFonts w:ascii="黑体" w:hAnsi="黑体" w:eastAsia="黑体"/>
          <w:sz w:val="24"/>
          <w:szCs w:val="24"/>
        </w:rPr>
      </w:pPr>
      <w:r>
        <w:rPr>
          <w:rFonts w:ascii="黑体" w:hAnsi="黑体" w:eastAsia="黑体"/>
          <w:sz w:val="24"/>
          <w:szCs w:val="24"/>
        </w:rPr>
        <w:t>(２) 取得本职业或相关职业四级/中级工职业资格证书(技能等级证书)，并具有高级技工学校、技师学院毕业证书(含尚未取得毕业证书的在校应届毕业生)；或取得本职业或相关职业四级/中级工职业资格证书(技能等级证书)，并具有经评估论证、以高级技能为培养目标的高等职业学校本专业或相关专业毕业证书(含尚未取得毕业证书的在校应届毕业生)。</w:t>
      </w:r>
    </w:p>
    <w:p>
      <w:pPr>
        <w:widowControl/>
        <w:jc w:val="left"/>
        <w:rPr>
          <w:rFonts w:ascii="黑体" w:hAnsi="黑体" w:eastAsia="黑体"/>
          <w:sz w:val="24"/>
          <w:szCs w:val="24"/>
        </w:rPr>
      </w:pPr>
      <w:r>
        <w:rPr>
          <w:rFonts w:ascii="黑体" w:hAnsi="黑体" w:eastAsia="黑体"/>
          <w:sz w:val="24"/>
          <w:szCs w:val="24"/>
        </w:rPr>
        <w:t>(３) 具有大学专科本专业或相关专业毕业证书，并取得本职业或相关职业四级/中级工职业资格证书(技能等级证书)后，累计从事本职业或相关职业工作２年(含)以上。</w:t>
      </w:r>
    </w:p>
    <w:p>
      <w:pPr>
        <w:widowControl/>
        <w:jc w:val="left"/>
        <w:rPr>
          <w:rFonts w:ascii="黑体" w:hAnsi="黑体" w:eastAsia="黑体"/>
          <w:sz w:val="24"/>
          <w:szCs w:val="24"/>
        </w:rPr>
      </w:pPr>
      <w:r>
        <w:rPr>
          <w:rFonts w:ascii="黑体" w:hAnsi="黑体" w:eastAsia="黑体"/>
          <w:sz w:val="24"/>
          <w:szCs w:val="24"/>
        </w:rPr>
        <w:t>(４) 具有大学本科本专业或相关专业学历证书，并取得本职业或相关职业四级/中级工职业资格证书(技能等级证书)后，累计从事本职业或相关职业工作１年(含)以上。</w:t>
      </w:r>
    </w:p>
    <w:p>
      <w:pPr>
        <w:widowControl/>
        <w:jc w:val="left"/>
        <w:rPr>
          <w:rFonts w:ascii="黑体" w:hAnsi="黑体" w:eastAsia="黑体"/>
          <w:sz w:val="24"/>
          <w:szCs w:val="24"/>
        </w:rPr>
      </w:pPr>
      <w:r>
        <w:rPr>
          <w:rFonts w:ascii="黑体" w:hAnsi="黑体" w:eastAsia="黑体"/>
          <w:sz w:val="24"/>
          <w:szCs w:val="24"/>
        </w:rPr>
        <w:t>(５) 具有硕士及以上本专业或相关专业学历证书(含尚未取得毕业证书的在校应届毕业生)。</w:t>
      </w:r>
    </w:p>
    <w:p>
      <w:pPr>
        <w:widowControl/>
        <w:jc w:val="left"/>
        <w:rPr>
          <w:rFonts w:ascii="黑体" w:hAnsi="黑体" w:eastAsia="黑体"/>
          <w:sz w:val="24"/>
          <w:szCs w:val="24"/>
        </w:rPr>
      </w:pPr>
    </w:p>
    <w:p>
      <w:pPr>
        <w:widowControl/>
        <w:jc w:val="left"/>
        <w:rPr>
          <w:rFonts w:ascii="黑体" w:hAnsi="黑体" w:eastAsia="黑体"/>
          <w:sz w:val="24"/>
          <w:szCs w:val="24"/>
        </w:rPr>
      </w:pPr>
      <w:r>
        <w:rPr>
          <w:rFonts w:hint="eastAsia" w:ascii="黑体" w:hAnsi="黑体" w:eastAsia="黑体"/>
          <w:sz w:val="24"/>
          <w:szCs w:val="24"/>
        </w:rPr>
        <w:t>具备以下条件之一者，可申报二级</w:t>
      </w:r>
      <w:r>
        <w:rPr>
          <w:rFonts w:ascii="黑体" w:hAnsi="黑体" w:eastAsia="黑体"/>
          <w:sz w:val="24"/>
          <w:szCs w:val="24"/>
        </w:rPr>
        <w:t>/技师:</w:t>
      </w:r>
    </w:p>
    <w:p>
      <w:pPr>
        <w:widowControl/>
        <w:jc w:val="left"/>
        <w:rPr>
          <w:rFonts w:ascii="黑体" w:hAnsi="黑体" w:eastAsia="黑体"/>
          <w:sz w:val="24"/>
          <w:szCs w:val="24"/>
        </w:rPr>
      </w:pPr>
      <w:r>
        <w:rPr>
          <w:rFonts w:ascii="黑体" w:hAnsi="黑体" w:eastAsia="黑体"/>
          <w:sz w:val="24"/>
          <w:szCs w:val="24"/>
        </w:rPr>
        <w:t>(１) 取得本职业或相关职业三级/高级工职业资格证书(技能等级证书) 后，累计从事本职业或相关职业工作４年(含)以上。</w:t>
      </w:r>
    </w:p>
    <w:p>
      <w:pPr>
        <w:widowControl/>
        <w:jc w:val="left"/>
        <w:rPr>
          <w:rFonts w:ascii="黑体" w:hAnsi="黑体" w:eastAsia="黑体"/>
          <w:sz w:val="24"/>
          <w:szCs w:val="24"/>
        </w:rPr>
      </w:pPr>
      <w:r>
        <w:rPr>
          <w:rFonts w:ascii="黑体" w:hAnsi="黑体" w:eastAsia="黑体"/>
          <w:sz w:val="24"/>
          <w:szCs w:val="24"/>
        </w:rPr>
        <w:t>(２) 取得本职业或相关职业三级/高级工职业资格证书(技能等级证书) 的高级技工学校、技师学院毕业生，累计从事本职业或相关职业工作３年(含)以上；或取得本职业或相关职业预备技师证书的技师学院毕业生，累计从事本职业或相关职业工作２年(含)以上。</w:t>
      </w:r>
    </w:p>
    <w:p>
      <w:pPr>
        <w:widowControl/>
        <w:jc w:val="left"/>
        <w:rPr>
          <w:rFonts w:ascii="黑体" w:hAnsi="黑体" w:eastAsia="黑体"/>
          <w:sz w:val="24"/>
          <w:szCs w:val="24"/>
        </w:rPr>
      </w:pPr>
      <w:r>
        <w:rPr>
          <w:rFonts w:ascii="黑体" w:hAnsi="黑体" w:eastAsia="黑体"/>
          <w:sz w:val="24"/>
          <w:szCs w:val="24"/>
        </w:rPr>
        <w:t>( ３) 具有大学本科本专业或相关专业学历证书，并取得本职业或相关职业三级/高级工职业资格证书(技能等级证书) 后，累计从事本职业或相关职业工作２年(含)以上。</w:t>
      </w:r>
    </w:p>
    <w:p>
      <w:pPr>
        <w:widowControl/>
        <w:jc w:val="left"/>
        <w:rPr>
          <w:rFonts w:ascii="黑体" w:hAnsi="黑体" w:eastAsia="黑体"/>
          <w:sz w:val="24"/>
          <w:szCs w:val="24"/>
        </w:rPr>
      </w:pPr>
      <w:r>
        <w:rPr>
          <w:rFonts w:ascii="黑体" w:hAnsi="黑体" w:eastAsia="黑体"/>
          <w:sz w:val="24"/>
          <w:szCs w:val="24"/>
        </w:rPr>
        <w:t>(４) 具有硕士本专业或相关专业学历证书，并取得本职业或相关职业三级/高级工职业资格证书(技能等级证书)后，累计从事本职业或相关职业工作１年(含)以上。</w:t>
      </w:r>
    </w:p>
    <w:p>
      <w:pPr>
        <w:widowControl/>
        <w:jc w:val="left"/>
        <w:rPr>
          <w:rFonts w:ascii="黑体" w:hAnsi="黑体" w:eastAsia="黑体"/>
          <w:sz w:val="24"/>
          <w:szCs w:val="24"/>
        </w:rPr>
      </w:pPr>
      <w:r>
        <w:rPr>
          <w:rFonts w:ascii="黑体" w:hAnsi="黑体" w:eastAsia="黑体"/>
          <w:sz w:val="24"/>
          <w:szCs w:val="24"/>
        </w:rPr>
        <w:t>(５) 具有博士本专业或相关专业学历证书，累计从事本职业或相关职业工作２年(含)以上。</w:t>
      </w:r>
    </w:p>
    <w:p>
      <w:pPr>
        <w:widowControl/>
        <w:jc w:val="left"/>
        <w:rPr>
          <w:rFonts w:ascii="黑体" w:hAnsi="黑体" w:eastAsia="黑体"/>
          <w:sz w:val="24"/>
          <w:szCs w:val="24"/>
        </w:rPr>
      </w:pPr>
    </w:p>
    <w:p>
      <w:pPr>
        <w:widowControl/>
        <w:jc w:val="left"/>
        <w:rPr>
          <w:rFonts w:ascii="黑体" w:hAnsi="黑体" w:eastAsia="黑体"/>
          <w:sz w:val="24"/>
          <w:szCs w:val="24"/>
        </w:rPr>
      </w:pPr>
      <w:r>
        <w:rPr>
          <w:rFonts w:hint="eastAsia" w:ascii="黑体" w:hAnsi="黑体" w:eastAsia="黑体"/>
          <w:sz w:val="24"/>
          <w:szCs w:val="24"/>
        </w:rPr>
        <w:t>具备以下条件者，可申报一级</w:t>
      </w:r>
      <w:r>
        <w:rPr>
          <w:rFonts w:ascii="黑体" w:hAnsi="黑体" w:eastAsia="黑体"/>
          <w:sz w:val="24"/>
          <w:szCs w:val="24"/>
        </w:rPr>
        <w:t>/高级技师:</w:t>
      </w:r>
    </w:p>
    <w:p>
      <w:pPr>
        <w:widowControl/>
        <w:jc w:val="left"/>
        <w:rPr>
          <w:rFonts w:ascii="黑体" w:hAnsi="黑体" w:eastAsia="黑体"/>
          <w:sz w:val="24"/>
          <w:szCs w:val="24"/>
        </w:rPr>
      </w:pPr>
      <w:r>
        <w:rPr>
          <w:rFonts w:hint="eastAsia" w:ascii="黑体" w:hAnsi="黑体" w:eastAsia="黑体"/>
          <w:sz w:val="24"/>
          <w:szCs w:val="24"/>
        </w:rPr>
        <w:t>取得本职业或相关职业二级</w:t>
      </w:r>
      <w:r>
        <w:rPr>
          <w:rFonts w:ascii="黑体" w:hAnsi="黑体" w:eastAsia="黑体"/>
          <w:sz w:val="24"/>
          <w:szCs w:val="24"/>
        </w:rPr>
        <w:t>/技师职业资格证书(技能等级证书) 后，累计从事本职业或相关职业工作４年(含)以上。</w:t>
      </w:r>
    </w:p>
    <w:p>
      <w:pPr>
        <w:widowControl/>
        <w:jc w:val="left"/>
        <w:rPr>
          <w:rFonts w:ascii="仿宋" w:hAnsi="仿宋" w:eastAsia="仿宋"/>
          <w:sz w:val="28"/>
          <w:szCs w:val="28"/>
        </w:rPr>
      </w:pPr>
    </w:p>
    <w:p>
      <w:pPr>
        <w:widowControl/>
        <w:jc w:val="left"/>
        <w:rPr>
          <w:rFonts w:ascii="黑体" w:hAnsi="黑体" w:eastAsia="黑体"/>
          <w:i/>
          <w:iCs/>
          <w:szCs w:val="21"/>
        </w:rPr>
      </w:pPr>
      <w:r>
        <w:rPr>
          <w:rFonts w:hint="eastAsia" w:ascii="黑体" w:hAnsi="黑体" w:eastAsia="黑体"/>
          <w:i/>
          <w:iCs/>
          <w:szCs w:val="21"/>
        </w:rPr>
        <w:t>①相关职业是指企业管理、行政管理、管理咨询、管理研究等职业。</w:t>
      </w:r>
    </w:p>
    <w:p>
      <w:pPr>
        <w:widowControl/>
        <w:jc w:val="left"/>
        <w:rPr>
          <w:rFonts w:ascii="黑体" w:hAnsi="黑体" w:eastAsia="黑体"/>
          <w:i/>
          <w:iCs/>
          <w:szCs w:val="21"/>
        </w:rPr>
      </w:pPr>
      <w:r>
        <w:rPr>
          <w:rFonts w:hint="eastAsia" w:ascii="黑体" w:hAnsi="黑体" w:eastAsia="黑体"/>
          <w:i/>
          <w:iCs/>
          <w:szCs w:val="21"/>
        </w:rPr>
        <w:t>②相关专业是指工商企业管理、行政管理、管理科学、劳动与社会保障、劳动经济、劳动关系等。</w:t>
      </w:r>
    </w:p>
    <w:p>
      <w:pPr>
        <w:widowControl/>
        <w:jc w:val="left"/>
        <w:rPr>
          <w:rFonts w:ascii="黑体" w:hAnsi="黑体" w:eastAsia="黑体"/>
          <w:i/>
          <w:iCs/>
          <w:szCs w:val="21"/>
        </w:rPr>
      </w:pPr>
      <w:r>
        <w:rPr>
          <w:rFonts w:hint="eastAsia" w:ascii="黑体" w:hAnsi="黑体" w:eastAsia="黑体"/>
          <w:i/>
          <w:iCs/>
          <w:szCs w:val="21"/>
        </w:rPr>
        <w:t>③相关职业资格证书</w:t>
      </w:r>
      <w:r>
        <w:rPr>
          <w:rFonts w:ascii="黑体" w:hAnsi="黑体" w:eastAsia="黑体"/>
          <w:i/>
          <w:iCs/>
          <w:szCs w:val="21"/>
        </w:rPr>
        <w:t>(技能等级证书) 是指劳动关系协调员等与企业人力资源管理职业功能具有关联性的职业资格证书。</w:t>
      </w:r>
    </w:p>
    <w:p>
      <w:pPr>
        <w:widowControl/>
        <w:jc w:val="left"/>
        <w:rPr>
          <w:rFonts w:ascii="仿宋" w:hAnsi="仿宋" w:eastAsia="仿宋"/>
          <w:sz w:val="28"/>
          <w:szCs w:val="28"/>
        </w:rPr>
      </w:pPr>
    </w:p>
    <w:p>
      <w:pPr>
        <w:widowControl/>
        <w:jc w:val="left"/>
        <w:rPr>
          <w:rFonts w:ascii="黑体" w:hAnsi="黑体" w:eastAsia="黑体"/>
          <w:b/>
          <w:bCs/>
          <w:sz w:val="24"/>
          <w:szCs w:val="24"/>
        </w:rPr>
      </w:pPr>
      <w:r>
        <w:rPr>
          <w:rFonts w:hint="eastAsia" w:ascii="黑体" w:hAnsi="黑体" w:eastAsia="黑体"/>
          <w:b/>
          <w:bCs/>
          <w:sz w:val="24"/>
          <w:szCs w:val="24"/>
        </w:rPr>
        <w:t>二、育婴员：</w:t>
      </w:r>
    </w:p>
    <w:p>
      <w:pPr>
        <w:widowControl/>
        <w:jc w:val="left"/>
        <w:rPr>
          <w:rFonts w:ascii="黑体" w:hAnsi="黑体" w:eastAsia="黑体"/>
          <w:sz w:val="24"/>
          <w:szCs w:val="24"/>
        </w:rPr>
      </w:pPr>
      <w:r>
        <w:rPr>
          <w:rFonts w:hint="eastAsia" w:ascii="黑体" w:hAnsi="黑体" w:eastAsia="黑体"/>
          <w:sz w:val="24"/>
          <w:szCs w:val="24"/>
        </w:rPr>
        <w:t>具备以下条件之一者，可申报五级</w:t>
      </w:r>
      <w:r>
        <w:rPr>
          <w:rFonts w:ascii="黑体" w:hAnsi="黑体" w:eastAsia="黑体"/>
          <w:sz w:val="24"/>
          <w:szCs w:val="24"/>
        </w:rPr>
        <w:t>/初级工：</w:t>
      </w:r>
    </w:p>
    <w:p>
      <w:pPr>
        <w:widowControl/>
        <w:jc w:val="left"/>
        <w:rPr>
          <w:rFonts w:ascii="黑体" w:hAnsi="黑体" w:eastAsia="黑体"/>
          <w:sz w:val="24"/>
          <w:szCs w:val="24"/>
        </w:rPr>
      </w:pPr>
      <w:r>
        <w:rPr>
          <w:rFonts w:hint="eastAsia" w:ascii="黑体" w:hAnsi="黑体" w:eastAsia="黑体"/>
          <w:sz w:val="24"/>
          <w:szCs w:val="24"/>
        </w:rPr>
        <w:t>（</w:t>
      </w:r>
      <w:r>
        <w:rPr>
          <w:rFonts w:ascii="黑体" w:hAnsi="黑体" w:eastAsia="黑体"/>
          <w:sz w:val="24"/>
          <w:szCs w:val="24"/>
        </w:rPr>
        <w:t>1）累计从事本职业或相关职业</w:t>
      </w:r>
      <w:r>
        <w:rPr>
          <w:rFonts w:ascii="黑体" w:hAnsi="黑体" w:eastAsia="黑体"/>
          <w:sz w:val="24"/>
          <w:szCs w:val="24"/>
          <w:vertAlign w:val="superscript"/>
        </w:rPr>
        <w:t>①</w:t>
      </w:r>
      <w:r>
        <w:rPr>
          <w:rFonts w:ascii="黑体" w:hAnsi="黑体" w:eastAsia="黑体"/>
          <w:sz w:val="24"/>
          <w:szCs w:val="24"/>
        </w:rPr>
        <w:t xml:space="preserve">工作1年（含）以上。 </w:t>
      </w:r>
    </w:p>
    <w:p>
      <w:pPr>
        <w:widowControl/>
        <w:jc w:val="left"/>
        <w:rPr>
          <w:rFonts w:ascii="黑体" w:hAnsi="黑体" w:eastAsia="黑体"/>
          <w:sz w:val="24"/>
          <w:szCs w:val="24"/>
        </w:rPr>
      </w:pPr>
      <w:r>
        <w:rPr>
          <w:rFonts w:hint="eastAsia" w:ascii="黑体" w:hAnsi="黑体" w:eastAsia="黑体"/>
          <w:sz w:val="24"/>
          <w:szCs w:val="24"/>
        </w:rPr>
        <w:t>（</w:t>
      </w:r>
      <w:r>
        <w:rPr>
          <w:rFonts w:ascii="黑体" w:hAnsi="黑体" w:eastAsia="黑体"/>
          <w:sz w:val="24"/>
          <w:szCs w:val="24"/>
        </w:rPr>
        <w:t>2）本职业或相关职业学徒期满。</w:t>
      </w:r>
    </w:p>
    <w:p>
      <w:pPr>
        <w:widowControl/>
        <w:jc w:val="left"/>
        <w:rPr>
          <w:rFonts w:ascii="黑体" w:hAnsi="黑体" w:eastAsia="黑体"/>
          <w:sz w:val="24"/>
          <w:szCs w:val="24"/>
        </w:rPr>
      </w:pPr>
    </w:p>
    <w:p>
      <w:pPr>
        <w:widowControl/>
        <w:jc w:val="left"/>
        <w:rPr>
          <w:rFonts w:ascii="黑体" w:hAnsi="黑体" w:eastAsia="黑体"/>
          <w:sz w:val="24"/>
          <w:szCs w:val="24"/>
        </w:rPr>
      </w:pPr>
      <w:r>
        <w:rPr>
          <w:rFonts w:hint="eastAsia" w:ascii="黑体" w:hAnsi="黑体" w:eastAsia="黑体"/>
          <w:sz w:val="24"/>
          <w:szCs w:val="24"/>
        </w:rPr>
        <w:t>具备以下条件之一者，可申报四级</w:t>
      </w:r>
      <w:r>
        <w:rPr>
          <w:rFonts w:ascii="黑体" w:hAnsi="黑体" w:eastAsia="黑体"/>
          <w:sz w:val="24"/>
          <w:szCs w:val="24"/>
        </w:rPr>
        <w:t>/中级工：</w:t>
      </w:r>
    </w:p>
    <w:p>
      <w:pPr>
        <w:widowControl/>
        <w:jc w:val="left"/>
        <w:rPr>
          <w:rFonts w:ascii="黑体" w:hAnsi="黑体" w:eastAsia="黑体"/>
          <w:sz w:val="24"/>
          <w:szCs w:val="24"/>
        </w:rPr>
      </w:pPr>
      <w:r>
        <w:rPr>
          <w:rFonts w:hint="eastAsia" w:ascii="黑体" w:hAnsi="黑体" w:eastAsia="黑体"/>
          <w:sz w:val="24"/>
          <w:szCs w:val="24"/>
        </w:rPr>
        <w:t>（</w:t>
      </w:r>
      <w:r>
        <w:rPr>
          <w:rFonts w:ascii="黑体" w:hAnsi="黑体" w:eastAsia="黑体"/>
          <w:sz w:val="24"/>
          <w:szCs w:val="24"/>
        </w:rPr>
        <w:t xml:space="preserve">1）取得本职业或相关职业五级/初级工职业资格证书（技能等级证书）后，累计从事本职业或相关职业工作4年（含）以上。 </w:t>
      </w:r>
    </w:p>
    <w:p>
      <w:pPr>
        <w:widowControl/>
        <w:jc w:val="left"/>
        <w:rPr>
          <w:rFonts w:ascii="黑体" w:hAnsi="黑体" w:eastAsia="黑体"/>
          <w:sz w:val="24"/>
          <w:szCs w:val="24"/>
        </w:rPr>
      </w:pPr>
      <w:r>
        <w:rPr>
          <w:rFonts w:hint="eastAsia" w:ascii="黑体" w:hAnsi="黑体" w:eastAsia="黑体"/>
          <w:sz w:val="24"/>
          <w:szCs w:val="24"/>
        </w:rPr>
        <w:t>（</w:t>
      </w:r>
      <w:r>
        <w:rPr>
          <w:rFonts w:ascii="黑体" w:hAnsi="黑体" w:eastAsia="黑体"/>
          <w:sz w:val="24"/>
          <w:szCs w:val="24"/>
        </w:rPr>
        <w:t>2）累计从事本职业或相关职业工作6年（含）以上。</w:t>
      </w:r>
    </w:p>
    <w:p>
      <w:pPr>
        <w:widowControl/>
        <w:jc w:val="left"/>
        <w:rPr>
          <w:rFonts w:ascii="黑体" w:hAnsi="黑体" w:eastAsia="黑体"/>
          <w:sz w:val="24"/>
          <w:szCs w:val="24"/>
        </w:rPr>
      </w:pPr>
      <w:r>
        <w:rPr>
          <w:rFonts w:hint="eastAsia" w:ascii="黑体" w:hAnsi="黑体" w:eastAsia="黑体"/>
          <w:sz w:val="24"/>
          <w:szCs w:val="24"/>
        </w:rPr>
        <w:t>（</w:t>
      </w:r>
      <w:r>
        <w:rPr>
          <w:rFonts w:ascii="黑体" w:hAnsi="黑体" w:eastAsia="黑体"/>
          <w:sz w:val="24"/>
          <w:szCs w:val="24"/>
        </w:rPr>
        <w:t>3）取得技工学校本专业</w:t>
      </w:r>
      <w:r>
        <w:rPr>
          <w:rFonts w:ascii="黑体" w:hAnsi="黑体" w:eastAsia="黑体"/>
          <w:sz w:val="24"/>
          <w:szCs w:val="24"/>
          <w:vertAlign w:val="superscript"/>
        </w:rPr>
        <w:t>②</w:t>
      </w:r>
      <w:r>
        <w:rPr>
          <w:rFonts w:ascii="黑体" w:hAnsi="黑体" w:eastAsia="黑体"/>
          <w:sz w:val="24"/>
          <w:szCs w:val="24"/>
        </w:rPr>
        <w:t>或相关专业</w:t>
      </w:r>
      <w:r>
        <w:rPr>
          <w:rFonts w:ascii="黑体" w:hAnsi="黑体" w:eastAsia="黑体"/>
          <w:sz w:val="24"/>
          <w:szCs w:val="24"/>
          <w:vertAlign w:val="superscript"/>
        </w:rPr>
        <w:t>③</w:t>
      </w:r>
      <w:r>
        <w:rPr>
          <w:rFonts w:ascii="黑体" w:hAnsi="黑体" w:eastAsia="黑体"/>
          <w:sz w:val="24"/>
          <w:szCs w:val="24"/>
        </w:rPr>
        <w:t>毕业证书（含尚未取得毕业证书的在校应届毕业生）；或取得经评估论证、以中级技能为培养目标的中等及以上职业学校本专业或相关专业毕业证书（含尚未取得毕业证书的在校应届毕业生）。</w:t>
      </w:r>
    </w:p>
    <w:p>
      <w:pPr>
        <w:widowControl/>
        <w:jc w:val="left"/>
        <w:rPr>
          <w:rFonts w:ascii="黑体" w:hAnsi="黑体" w:eastAsia="黑体"/>
          <w:sz w:val="24"/>
          <w:szCs w:val="24"/>
        </w:rPr>
      </w:pPr>
    </w:p>
    <w:p>
      <w:pPr>
        <w:widowControl/>
        <w:jc w:val="left"/>
        <w:rPr>
          <w:rFonts w:ascii="黑体" w:hAnsi="黑体" w:eastAsia="黑体"/>
          <w:sz w:val="24"/>
          <w:szCs w:val="24"/>
        </w:rPr>
      </w:pPr>
      <w:r>
        <w:rPr>
          <w:rFonts w:hint="eastAsia" w:ascii="黑体" w:hAnsi="黑体" w:eastAsia="黑体"/>
          <w:sz w:val="24"/>
          <w:szCs w:val="24"/>
        </w:rPr>
        <w:t>具备以下条件之一者，可申报三级</w:t>
      </w:r>
      <w:r>
        <w:rPr>
          <w:rFonts w:ascii="黑体" w:hAnsi="黑体" w:eastAsia="黑体"/>
          <w:sz w:val="24"/>
          <w:szCs w:val="24"/>
        </w:rPr>
        <w:t xml:space="preserve">/高级工： </w:t>
      </w:r>
    </w:p>
    <w:p>
      <w:pPr>
        <w:widowControl/>
        <w:jc w:val="left"/>
        <w:rPr>
          <w:rFonts w:ascii="黑体" w:hAnsi="黑体" w:eastAsia="黑体"/>
          <w:sz w:val="24"/>
          <w:szCs w:val="24"/>
        </w:rPr>
      </w:pPr>
      <w:r>
        <w:rPr>
          <w:rFonts w:hint="eastAsia" w:ascii="黑体" w:hAnsi="黑体" w:eastAsia="黑体"/>
          <w:sz w:val="24"/>
          <w:szCs w:val="24"/>
        </w:rPr>
        <w:t>（</w:t>
      </w:r>
      <w:r>
        <w:rPr>
          <w:rFonts w:ascii="黑体" w:hAnsi="黑体" w:eastAsia="黑体"/>
          <w:sz w:val="24"/>
          <w:szCs w:val="24"/>
        </w:rPr>
        <w:t xml:space="preserve">1）取得本职业或相关职业四级/中级工职业资格证书（技能等级证书）后，累计从事本职业或相关职业工作5年（含）以上。 </w:t>
      </w:r>
    </w:p>
    <w:p>
      <w:pPr>
        <w:widowControl/>
        <w:jc w:val="left"/>
        <w:rPr>
          <w:rFonts w:ascii="黑体" w:hAnsi="黑体" w:eastAsia="黑体"/>
          <w:sz w:val="24"/>
          <w:szCs w:val="24"/>
        </w:rPr>
      </w:pPr>
      <w:r>
        <w:rPr>
          <w:rFonts w:hint="eastAsia" w:ascii="黑体" w:hAnsi="黑体" w:eastAsia="黑体"/>
          <w:sz w:val="24"/>
          <w:szCs w:val="24"/>
        </w:rPr>
        <w:t>（</w:t>
      </w:r>
      <w:r>
        <w:rPr>
          <w:rFonts w:ascii="黑体" w:hAnsi="黑体" w:eastAsia="黑体"/>
          <w:sz w:val="24"/>
          <w:szCs w:val="24"/>
        </w:rPr>
        <w:t>2）取得本职业或相关职业四级/中级工职业资格证书（技能等级证书），并具有高级技工学校、技师学院本专业或相关专业毕业证书（含尚未取得毕业证书的在校应届毕业生）；或取得本职业或相关职业四级/中级工职业资格证书（技能等级证书），并具有经评估论证、以高级技能为培养目标的高等职业学校本专业或相关专业毕业证书（含尚未取得毕业证书的在校应届毕业生）。</w:t>
      </w:r>
    </w:p>
    <w:p>
      <w:pPr>
        <w:widowControl/>
        <w:jc w:val="left"/>
        <w:rPr>
          <w:rFonts w:ascii="黑体" w:hAnsi="黑体" w:eastAsia="黑体"/>
          <w:sz w:val="24"/>
          <w:szCs w:val="24"/>
        </w:rPr>
      </w:pPr>
      <w:r>
        <w:rPr>
          <w:rFonts w:ascii="黑体" w:hAnsi="黑体" w:eastAsia="黑体"/>
          <w:sz w:val="24"/>
          <w:szCs w:val="24"/>
        </w:rPr>
        <w:t xml:space="preserve"> (3)具有大专及以上本专业或相关专业毕业证书，并取得本职业或相关职业四级/中级工职业资格证书（技能等级证书）后，累计从事本职业或相关职业工作2年（含）以上。</w:t>
      </w:r>
    </w:p>
    <w:p>
      <w:pPr>
        <w:widowControl/>
        <w:jc w:val="left"/>
        <w:rPr>
          <w:rFonts w:ascii="仿宋" w:hAnsi="仿宋" w:eastAsia="仿宋"/>
          <w:sz w:val="28"/>
          <w:szCs w:val="28"/>
        </w:rPr>
      </w:pPr>
    </w:p>
    <w:p>
      <w:pPr>
        <w:widowControl/>
        <w:jc w:val="left"/>
        <w:rPr>
          <w:rFonts w:ascii="黑体" w:hAnsi="黑体" w:eastAsia="黑体"/>
          <w:i/>
          <w:iCs/>
          <w:szCs w:val="21"/>
        </w:rPr>
      </w:pPr>
      <w:r>
        <w:rPr>
          <w:rFonts w:hint="eastAsia" w:ascii="黑体" w:hAnsi="黑体" w:eastAsia="黑体"/>
          <w:i/>
          <w:iCs/>
          <w:szCs w:val="21"/>
        </w:rPr>
        <w:t>①</w:t>
      </w:r>
      <w:r>
        <w:rPr>
          <w:rFonts w:ascii="黑体" w:hAnsi="黑体" w:eastAsia="黑体"/>
          <w:i/>
          <w:iCs/>
          <w:szCs w:val="21"/>
        </w:rPr>
        <w:t>相关职业：婴幼儿发展引导员、幼儿教育教师、儿科医师、儿科护士、孤残儿童护理员、母婴保健技术服务人员、保健调理师、健康管理师、保育员、家政服务员。</w:t>
      </w:r>
    </w:p>
    <w:p>
      <w:pPr>
        <w:widowControl/>
        <w:jc w:val="left"/>
        <w:rPr>
          <w:rFonts w:ascii="黑体" w:hAnsi="黑体" w:eastAsia="黑体"/>
          <w:i/>
          <w:iCs/>
          <w:szCs w:val="21"/>
        </w:rPr>
      </w:pPr>
      <w:r>
        <w:rPr>
          <w:rFonts w:hint="eastAsia" w:ascii="黑体" w:hAnsi="黑体" w:eastAsia="黑体"/>
          <w:i/>
          <w:iCs/>
          <w:szCs w:val="21"/>
        </w:rPr>
        <w:t>②</w:t>
      </w:r>
      <w:r>
        <w:rPr>
          <w:rFonts w:ascii="黑体" w:hAnsi="黑体" w:eastAsia="黑体"/>
          <w:i/>
          <w:iCs/>
          <w:szCs w:val="21"/>
        </w:rPr>
        <w:t>本专业：学前教育、早期教育。</w:t>
      </w:r>
    </w:p>
    <w:p>
      <w:pPr>
        <w:widowControl/>
        <w:jc w:val="left"/>
        <w:rPr>
          <w:rFonts w:ascii="黑体" w:hAnsi="黑体" w:eastAsia="黑体"/>
          <w:i/>
          <w:iCs/>
          <w:szCs w:val="21"/>
        </w:rPr>
      </w:pPr>
      <w:r>
        <w:rPr>
          <w:rFonts w:hint="eastAsia" w:ascii="黑体" w:hAnsi="黑体" w:eastAsia="黑体"/>
          <w:i/>
          <w:iCs/>
          <w:szCs w:val="21"/>
        </w:rPr>
        <w:t>③</w:t>
      </w:r>
      <w:r>
        <w:rPr>
          <w:rFonts w:ascii="黑体" w:hAnsi="黑体" w:eastAsia="黑体"/>
          <w:i/>
          <w:iCs/>
          <w:szCs w:val="21"/>
        </w:rPr>
        <w:t>相关专业：中职：护理、中医护理、家政服务与管理、营养与保健；高职高专：护理、预防医学、公共卫生管理、人口与家庭发展服务、临床医学、中医学、食品营养与卫生、健康管理、医学营养、心理咨询、营养配餐、特殊教育、心理健康教育、幼儿发展与健康管理、中医康复技术；普通高校：护理学、基础医学、预防医学、中医学、妇幼保健医学、针灸推拿、教育学、小学教育。</w:t>
      </w:r>
    </w:p>
    <w:p>
      <w:pPr>
        <w:widowControl/>
        <w:jc w:val="left"/>
        <w:rPr>
          <w:rFonts w:ascii="仿宋" w:hAnsi="仿宋" w:eastAsia="仿宋"/>
          <w:sz w:val="28"/>
          <w:szCs w:val="28"/>
        </w:rPr>
      </w:pPr>
    </w:p>
    <w:p>
      <w:pPr>
        <w:widowControl/>
        <w:jc w:val="left"/>
        <w:rPr>
          <w:rFonts w:ascii="黑体" w:hAnsi="黑体" w:eastAsia="黑体"/>
          <w:b/>
          <w:bCs/>
          <w:sz w:val="24"/>
          <w:szCs w:val="24"/>
        </w:rPr>
      </w:pPr>
      <w:r>
        <w:rPr>
          <w:rFonts w:hint="eastAsia" w:ascii="黑体" w:hAnsi="黑体" w:eastAsia="黑体"/>
          <w:b/>
          <w:bCs/>
          <w:sz w:val="24"/>
          <w:szCs w:val="24"/>
        </w:rPr>
        <w:t>三、劳动关系协调员：</w:t>
      </w:r>
    </w:p>
    <w:p>
      <w:pPr>
        <w:widowControl/>
        <w:jc w:val="left"/>
        <w:rPr>
          <w:rFonts w:ascii="黑体" w:hAnsi="黑体" w:eastAsia="黑体"/>
          <w:sz w:val="24"/>
          <w:szCs w:val="24"/>
        </w:rPr>
      </w:pPr>
      <w:r>
        <w:rPr>
          <w:rFonts w:hint="eastAsia" w:ascii="黑体" w:hAnsi="黑体" w:eastAsia="黑体"/>
          <w:sz w:val="24"/>
          <w:szCs w:val="24"/>
        </w:rPr>
        <w:t>具备以下条件之一者，可申报三级</w:t>
      </w:r>
      <w:r>
        <w:rPr>
          <w:rFonts w:ascii="黑体" w:hAnsi="黑体" w:eastAsia="黑体"/>
          <w:sz w:val="24"/>
          <w:szCs w:val="24"/>
        </w:rPr>
        <w:t>/高级工:</w:t>
      </w:r>
    </w:p>
    <w:p>
      <w:pPr>
        <w:widowControl/>
        <w:jc w:val="left"/>
        <w:rPr>
          <w:rFonts w:ascii="黑体" w:hAnsi="黑体" w:eastAsia="黑体"/>
          <w:sz w:val="24"/>
          <w:szCs w:val="24"/>
        </w:rPr>
      </w:pPr>
      <w:r>
        <w:rPr>
          <w:rFonts w:ascii="黑体" w:hAnsi="黑体" w:eastAsia="黑体"/>
          <w:sz w:val="24"/>
          <w:szCs w:val="24"/>
        </w:rPr>
        <w:t>(１) 取得本职业</w:t>
      </w:r>
      <w:r>
        <w:rPr>
          <w:rFonts w:hint="eastAsia" w:ascii="黑体" w:hAnsi="黑体" w:eastAsia="黑体"/>
          <w:sz w:val="24"/>
          <w:szCs w:val="24"/>
          <w:vertAlign w:val="superscript"/>
        </w:rPr>
        <w:t>①</w:t>
      </w:r>
      <w:r>
        <w:rPr>
          <w:rFonts w:ascii="黑体" w:hAnsi="黑体" w:eastAsia="黑体"/>
          <w:sz w:val="24"/>
          <w:szCs w:val="24"/>
        </w:rPr>
        <w:t>或相关职业四级/中级工职业资格证书(技能等级证书)</w:t>
      </w:r>
      <w:r>
        <w:rPr>
          <w:rFonts w:hint="eastAsia" w:ascii="黑体" w:hAnsi="黑体" w:eastAsia="黑体"/>
          <w:sz w:val="24"/>
          <w:szCs w:val="24"/>
          <w:vertAlign w:val="superscript"/>
        </w:rPr>
        <w:t>②</w:t>
      </w:r>
      <w:r>
        <w:rPr>
          <w:rFonts w:ascii="黑体" w:hAnsi="黑体" w:eastAsia="黑体"/>
          <w:sz w:val="24"/>
          <w:szCs w:val="24"/>
        </w:rPr>
        <w:t xml:space="preserve"> 后，累计从事本职业或相关职业工作５ 年(含) 以上。</w:t>
      </w:r>
    </w:p>
    <w:p>
      <w:pPr>
        <w:widowControl/>
        <w:jc w:val="left"/>
        <w:rPr>
          <w:rFonts w:ascii="黑体" w:hAnsi="黑体" w:eastAsia="黑体"/>
          <w:sz w:val="24"/>
          <w:szCs w:val="24"/>
        </w:rPr>
      </w:pPr>
      <w:r>
        <w:rPr>
          <w:rFonts w:ascii="黑体" w:hAnsi="黑体" w:eastAsia="黑体"/>
          <w:sz w:val="24"/>
          <w:szCs w:val="24"/>
        </w:rPr>
        <w:t>(２) 取得本职业或相关职业四级/中级工职业资格证书(技能等级证书)，并具有高级技工学校、技师学院毕业证书(含尚未取得毕业证书的在校应届毕业生)；或取得本职业或相关职业四级/中级工职业资格证书(技能等级证书)，并具有经评估论证、以高级技能为培养目标的高等职业学校本专业或相关专业</w:t>
      </w:r>
      <w:r>
        <w:rPr>
          <w:rFonts w:hint="eastAsia" w:ascii="黑体" w:hAnsi="黑体" w:eastAsia="黑体"/>
          <w:sz w:val="24"/>
          <w:szCs w:val="24"/>
          <w:vertAlign w:val="superscript"/>
        </w:rPr>
        <w:t>③</w:t>
      </w:r>
      <w:r>
        <w:rPr>
          <w:rFonts w:ascii="黑体" w:hAnsi="黑体" w:eastAsia="黑体"/>
          <w:sz w:val="24"/>
          <w:szCs w:val="24"/>
        </w:rPr>
        <w:t>毕业证书(含尚未取得毕业证书的在校应届毕业生)。</w:t>
      </w:r>
    </w:p>
    <w:p>
      <w:pPr>
        <w:widowControl/>
        <w:jc w:val="left"/>
        <w:rPr>
          <w:rFonts w:ascii="黑体" w:hAnsi="黑体" w:eastAsia="黑体"/>
          <w:sz w:val="24"/>
          <w:szCs w:val="24"/>
        </w:rPr>
      </w:pPr>
      <w:r>
        <w:rPr>
          <w:rFonts w:ascii="黑体" w:hAnsi="黑体" w:eastAsia="黑体"/>
          <w:sz w:val="24"/>
          <w:szCs w:val="24"/>
        </w:rPr>
        <w:t>(３) 具有大学专科本专业或相关专业毕业证书，并取得本职业或相关职业四级/中级工职业资格证书(技能等级证书) 后，累计从事本职业或相关职业工作２ 年(含) 以上。</w:t>
      </w:r>
    </w:p>
    <w:p>
      <w:pPr>
        <w:widowControl/>
        <w:jc w:val="left"/>
        <w:rPr>
          <w:rFonts w:ascii="黑体" w:hAnsi="黑体" w:eastAsia="黑体"/>
          <w:sz w:val="24"/>
          <w:szCs w:val="24"/>
        </w:rPr>
      </w:pPr>
      <w:r>
        <w:rPr>
          <w:rFonts w:ascii="黑体" w:hAnsi="黑体" w:eastAsia="黑体"/>
          <w:sz w:val="24"/>
          <w:szCs w:val="24"/>
        </w:rPr>
        <w:t>(４) 具有大学本科本专业或相关专业学历证书，并取得本职业或相关职业四级/ 中级工职业资格证书(技能等级证书) 后，累计从事本职业或相关职业工作１ 年(含) 以上。</w:t>
      </w:r>
    </w:p>
    <w:p>
      <w:pPr>
        <w:widowControl/>
        <w:jc w:val="left"/>
        <w:rPr>
          <w:rFonts w:ascii="黑体" w:hAnsi="黑体" w:eastAsia="黑体"/>
          <w:sz w:val="24"/>
          <w:szCs w:val="24"/>
        </w:rPr>
      </w:pPr>
      <w:r>
        <w:rPr>
          <w:rFonts w:ascii="黑体" w:hAnsi="黑体" w:eastAsia="黑体"/>
          <w:sz w:val="24"/>
          <w:szCs w:val="24"/>
        </w:rPr>
        <w:t>(５) 具有硕士研究生及以上本专业或相关专业学历证书(含尚未取得毕业证书的在校应届研究生毕业生)。</w:t>
      </w:r>
    </w:p>
    <w:p>
      <w:pPr>
        <w:widowControl/>
        <w:jc w:val="left"/>
        <w:rPr>
          <w:rFonts w:ascii="仿宋" w:hAnsi="仿宋" w:eastAsia="仿宋"/>
          <w:sz w:val="28"/>
          <w:szCs w:val="28"/>
        </w:rPr>
      </w:pPr>
    </w:p>
    <w:p>
      <w:pPr>
        <w:widowControl/>
        <w:jc w:val="left"/>
        <w:rPr>
          <w:rFonts w:ascii="黑体" w:hAnsi="黑体" w:eastAsia="黑体"/>
          <w:sz w:val="24"/>
          <w:szCs w:val="24"/>
        </w:rPr>
      </w:pPr>
      <w:r>
        <w:rPr>
          <w:rFonts w:hint="eastAsia" w:ascii="黑体" w:hAnsi="黑体" w:eastAsia="黑体"/>
          <w:sz w:val="24"/>
          <w:szCs w:val="24"/>
        </w:rPr>
        <w:t>具备以下条件之一者，可申报二级</w:t>
      </w:r>
      <w:r>
        <w:rPr>
          <w:rFonts w:ascii="黑体" w:hAnsi="黑体" w:eastAsia="黑体"/>
          <w:sz w:val="24"/>
          <w:szCs w:val="24"/>
        </w:rPr>
        <w:t>/技师:</w:t>
      </w:r>
    </w:p>
    <w:p>
      <w:pPr>
        <w:widowControl/>
        <w:jc w:val="left"/>
        <w:rPr>
          <w:rFonts w:ascii="黑体" w:hAnsi="黑体" w:eastAsia="黑体"/>
          <w:sz w:val="24"/>
          <w:szCs w:val="24"/>
        </w:rPr>
      </w:pPr>
      <w:r>
        <w:rPr>
          <w:rFonts w:ascii="黑体" w:hAnsi="黑体" w:eastAsia="黑体"/>
          <w:sz w:val="24"/>
          <w:szCs w:val="24"/>
        </w:rPr>
        <w:t>(１) 取得本职业或相关职业三级/高级工职业资格证书(技能等级证书) 后，累计从事本职业或相关职业工作４年(含) 以上。</w:t>
      </w:r>
    </w:p>
    <w:p>
      <w:pPr>
        <w:widowControl/>
        <w:jc w:val="left"/>
        <w:rPr>
          <w:rFonts w:ascii="黑体" w:hAnsi="黑体" w:eastAsia="黑体"/>
          <w:sz w:val="24"/>
          <w:szCs w:val="24"/>
        </w:rPr>
      </w:pPr>
      <w:r>
        <w:rPr>
          <w:rFonts w:ascii="黑体" w:hAnsi="黑体" w:eastAsia="黑体"/>
          <w:sz w:val="24"/>
          <w:szCs w:val="24"/>
        </w:rPr>
        <w:t>(２) 取得本职业或相关职业三级/高级工职业资格证书(技能等级证书) 的高级技工学校、技师学院毕业生，累计从事本职业或相关职业工作３年(含) 以上；或取得本职业或相关职业预备技师证书的技师学院毕业生，累计从事本职业或相关职业工作２年(含)以上。</w:t>
      </w:r>
    </w:p>
    <w:p>
      <w:pPr>
        <w:widowControl/>
        <w:jc w:val="left"/>
        <w:rPr>
          <w:rFonts w:ascii="黑体" w:hAnsi="黑体" w:eastAsia="黑体"/>
          <w:sz w:val="24"/>
          <w:szCs w:val="24"/>
        </w:rPr>
      </w:pPr>
      <w:r>
        <w:rPr>
          <w:rFonts w:ascii="黑体" w:hAnsi="黑体" w:eastAsia="黑体"/>
          <w:sz w:val="24"/>
          <w:szCs w:val="24"/>
        </w:rPr>
        <w:t>(３) 具有大学本科本专业或相关专业学历证书，并取得本职业或相关职业三级/高级工职业资格证书(技能等级证书) 后，累计从事本职业或相关职业工作２年(含) 以上。</w:t>
      </w:r>
    </w:p>
    <w:p>
      <w:pPr>
        <w:widowControl/>
        <w:jc w:val="left"/>
        <w:rPr>
          <w:rFonts w:ascii="黑体" w:hAnsi="黑体" w:eastAsia="黑体"/>
          <w:sz w:val="24"/>
          <w:szCs w:val="24"/>
        </w:rPr>
      </w:pPr>
      <w:r>
        <w:rPr>
          <w:rFonts w:ascii="黑体" w:hAnsi="黑体" w:eastAsia="黑体"/>
          <w:sz w:val="24"/>
          <w:szCs w:val="24"/>
        </w:rPr>
        <w:t>(４) 具有硕士研究生本专业或相关专业学历证书，并取得本职业或相关职业三级/高级工职业资格证书(技能等级证书) 后，累计从事本职业或相关职业工作１年(含) 以上。</w:t>
      </w:r>
    </w:p>
    <w:p>
      <w:pPr>
        <w:widowControl/>
        <w:jc w:val="left"/>
        <w:rPr>
          <w:rFonts w:ascii="黑体" w:hAnsi="黑体" w:eastAsia="黑体"/>
          <w:sz w:val="24"/>
          <w:szCs w:val="24"/>
        </w:rPr>
      </w:pPr>
      <w:r>
        <w:rPr>
          <w:rFonts w:ascii="黑体" w:hAnsi="黑体" w:eastAsia="黑体"/>
          <w:sz w:val="24"/>
          <w:szCs w:val="24"/>
        </w:rPr>
        <w:t>(５) 具有博士研究生本专业或相关专业学历证书，累计从事本职业或相关职业工作２ 年(含) 以上。</w:t>
      </w:r>
    </w:p>
    <w:p>
      <w:pPr>
        <w:widowControl/>
        <w:jc w:val="left"/>
        <w:rPr>
          <w:rFonts w:ascii="黑体" w:hAnsi="黑体" w:eastAsia="黑体"/>
          <w:sz w:val="24"/>
          <w:szCs w:val="24"/>
        </w:rPr>
      </w:pPr>
    </w:p>
    <w:p>
      <w:pPr>
        <w:widowControl/>
        <w:jc w:val="left"/>
        <w:rPr>
          <w:rFonts w:ascii="黑体" w:hAnsi="黑体" w:eastAsia="黑体"/>
          <w:sz w:val="24"/>
          <w:szCs w:val="24"/>
        </w:rPr>
      </w:pPr>
      <w:r>
        <w:rPr>
          <w:rFonts w:hint="eastAsia" w:ascii="黑体" w:hAnsi="黑体" w:eastAsia="黑体"/>
          <w:sz w:val="24"/>
          <w:szCs w:val="24"/>
        </w:rPr>
        <w:t>具备以下条件者，可申报一级</w:t>
      </w:r>
      <w:r>
        <w:rPr>
          <w:rFonts w:ascii="黑体" w:hAnsi="黑体" w:eastAsia="黑体"/>
          <w:sz w:val="24"/>
          <w:szCs w:val="24"/>
        </w:rPr>
        <w:t>/高级技师:</w:t>
      </w:r>
    </w:p>
    <w:p>
      <w:pPr>
        <w:widowControl/>
        <w:jc w:val="left"/>
        <w:rPr>
          <w:rFonts w:ascii="黑体" w:hAnsi="黑体" w:eastAsia="黑体"/>
          <w:sz w:val="24"/>
          <w:szCs w:val="24"/>
        </w:rPr>
      </w:pPr>
      <w:r>
        <w:rPr>
          <w:rFonts w:hint="eastAsia" w:ascii="黑体" w:hAnsi="黑体" w:eastAsia="黑体"/>
          <w:sz w:val="24"/>
          <w:szCs w:val="24"/>
        </w:rPr>
        <w:t>取得本职业或相关职业二级</w:t>
      </w:r>
      <w:r>
        <w:rPr>
          <w:rFonts w:ascii="黑体" w:hAnsi="黑体" w:eastAsia="黑体"/>
          <w:sz w:val="24"/>
          <w:szCs w:val="24"/>
        </w:rPr>
        <w:t>/技师职业资格证书(技能等级证书) 后，累计从事本职业或相关职业工作４年(含) 以上。</w:t>
      </w:r>
    </w:p>
    <w:p>
      <w:pPr>
        <w:widowControl/>
        <w:jc w:val="left"/>
        <w:rPr>
          <w:rFonts w:ascii="仿宋" w:hAnsi="仿宋" w:eastAsia="仿宋"/>
          <w:sz w:val="28"/>
          <w:szCs w:val="28"/>
        </w:rPr>
      </w:pPr>
    </w:p>
    <w:p>
      <w:pPr>
        <w:widowControl/>
        <w:jc w:val="left"/>
        <w:rPr>
          <w:rFonts w:ascii="黑体" w:hAnsi="黑体" w:eastAsia="黑体"/>
          <w:i/>
          <w:iCs/>
          <w:szCs w:val="21"/>
        </w:rPr>
      </w:pPr>
      <w:r>
        <w:rPr>
          <w:rFonts w:hint="eastAsia" w:ascii="黑体" w:hAnsi="黑体" w:eastAsia="黑体"/>
          <w:i/>
          <w:iCs/>
          <w:szCs w:val="21"/>
        </w:rPr>
        <w:t>①相关职业是指人力资源管理、劳动保障事务处理、社会工作等职业。</w:t>
      </w:r>
    </w:p>
    <w:p>
      <w:pPr>
        <w:widowControl/>
        <w:jc w:val="left"/>
        <w:rPr>
          <w:rFonts w:ascii="黑体" w:hAnsi="黑体" w:eastAsia="黑体"/>
          <w:i/>
          <w:iCs/>
          <w:szCs w:val="21"/>
        </w:rPr>
      </w:pPr>
      <w:r>
        <w:rPr>
          <w:rFonts w:hint="eastAsia" w:ascii="黑体" w:hAnsi="黑体" w:eastAsia="黑体"/>
          <w:i/>
          <w:iCs/>
          <w:szCs w:val="21"/>
        </w:rPr>
        <w:t>②相关职业资格证书</w:t>
      </w:r>
      <w:r>
        <w:rPr>
          <w:rFonts w:ascii="黑体" w:hAnsi="黑体" w:eastAsia="黑体"/>
          <w:i/>
          <w:iCs/>
          <w:szCs w:val="21"/>
        </w:rPr>
        <w:t>(技能等级证书) 是指企业人力资源管理师、劳动保障协理员、劳动保障专理员、社会工作者等与劳动关系协调员职业功能具有关联性的职业资格证</w:t>
      </w:r>
    </w:p>
    <w:p>
      <w:pPr>
        <w:widowControl/>
        <w:jc w:val="left"/>
        <w:rPr>
          <w:rFonts w:ascii="黑体" w:hAnsi="黑体" w:eastAsia="黑体"/>
          <w:i/>
          <w:iCs/>
          <w:szCs w:val="21"/>
        </w:rPr>
      </w:pPr>
      <w:r>
        <w:rPr>
          <w:rFonts w:hint="eastAsia" w:ascii="黑体" w:hAnsi="黑体" w:eastAsia="黑体"/>
          <w:i/>
          <w:iCs/>
          <w:szCs w:val="21"/>
        </w:rPr>
        <w:t>书。</w:t>
      </w:r>
    </w:p>
    <w:p>
      <w:pPr>
        <w:widowControl/>
        <w:jc w:val="left"/>
        <w:rPr>
          <w:rFonts w:ascii="黑体" w:hAnsi="黑体" w:eastAsia="黑体"/>
          <w:i/>
          <w:iCs/>
          <w:szCs w:val="21"/>
        </w:rPr>
      </w:pPr>
      <w:r>
        <w:rPr>
          <w:rFonts w:hint="eastAsia" w:ascii="黑体" w:hAnsi="黑体" w:eastAsia="黑体"/>
          <w:i/>
          <w:iCs/>
          <w:szCs w:val="21"/>
        </w:rPr>
        <w:t>③相关专业是指劳动与社会保障、劳动经济学、人力资源管理、工商企业管理、法学、社会学等专业。</w:t>
      </w:r>
    </w:p>
    <w:sectPr>
      <w:headerReference r:id="rId4" w:type="default"/>
      <w:footerReference r:id="rId5" w:type="default"/>
      <w:pgSz w:w="11906" w:h="16838"/>
      <w:pgMar w:top="1440" w:right="1700"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等线">
    <w:altName w:val="宋体"/>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方正仿宋_GBK">
    <w:panose1 w:val="03000509000000000000"/>
    <w:charset w:val="86"/>
    <w:family w:val="auto"/>
    <w:pitch w:val="default"/>
    <w:sig w:usb0="00000001" w:usb1="080E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r>
      <w:rPr>
        <w:rFonts w:ascii="等线" w:hAnsi="等线" w:eastAsia="等线" w:cs="黑体"/>
        <w:kern w:val="2"/>
        <w:sz w:val="18"/>
        <w:szCs w:val="18"/>
        <w:lang w:val="en-US" w:eastAsia="zh-CN" w:bidi="ar-SA"/>
      </w:rPr>
      <w:pict>
        <v:shape id="文本框 3" o:spid="_x0000_s1025" type="#_x0000_t202" style="position:absolute;left:0;margin-top:0pt;height:144pt;width:144pt;mso-position-horizontal:center;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eastAsia="等线"/>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227955403">
    <w:nsid w:val="49311CCB"/>
    <w:multiLevelType w:val="multilevel"/>
    <w:tmpl w:val="49311CCB"/>
    <w:lvl w:ilvl="0" w:tentative="1">
      <w:start w:val="1"/>
      <w:numFmt w:val="japaneseCounting"/>
      <w:lvlText w:val="%1、"/>
      <w:lvlJc w:val="left"/>
      <w:pPr>
        <w:ind w:left="1280" w:hanging="720"/>
      </w:pPr>
      <w:rPr>
        <w:rFonts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num w:numId="1">
    <w:abstractNumId w:val="12279554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E03190"/>
    <w:rsid w:val="00007723"/>
    <w:rsid w:val="00007930"/>
    <w:rsid w:val="0002338D"/>
    <w:rsid w:val="00026135"/>
    <w:rsid w:val="00040C34"/>
    <w:rsid w:val="00056D06"/>
    <w:rsid w:val="00066F64"/>
    <w:rsid w:val="000736A5"/>
    <w:rsid w:val="00073B59"/>
    <w:rsid w:val="000878E7"/>
    <w:rsid w:val="0009210B"/>
    <w:rsid w:val="000A11DA"/>
    <w:rsid w:val="000C1ACC"/>
    <w:rsid w:val="000F0F1E"/>
    <w:rsid w:val="001249AA"/>
    <w:rsid w:val="00141D65"/>
    <w:rsid w:val="001770FF"/>
    <w:rsid w:val="001817F7"/>
    <w:rsid w:val="00182F4D"/>
    <w:rsid w:val="00190E25"/>
    <w:rsid w:val="001B1101"/>
    <w:rsid w:val="001C27FF"/>
    <w:rsid w:val="001F1D55"/>
    <w:rsid w:val="001F7927"/>
    <w:rsid w:val="002158D1"/>
    <w:rsid w:val="002162AF"/>
    <w:rsid w:val="00256366"/>
    <w:rsid w:val="00260072"/>
    <w:rsid w:val="00261797"/>
    <w:rsid w:val="0026426B"/>
    <w:rsid w:val="00266660"/>
    <w:rsid w:val="002766E8"/>
    <w:rsid w:val="00280879"/>
    <w:rsid w:val="002843C7"/>
    <w:rsid w:val="0028657F"/>
    <w:rsid w:val="00296A9E"/>
    <w:rsid w:val="002A08A1"/>
    <w:rsid w:val="002A7A11"/>
    <w:rsid w:val="002B1D97"/>
    <w:rsid w:val="002B7AEB"/>
    <w:rsid w:val="002F511F"/>
    <w:rsid w:val="003072C8"/>
    <w:rsid w:val="003226B3"/>
    <w:rsid w:val="00331627"/>
    <w:rsid w:val="00341949"/>
    <w:rsid w:val="00345FA7"/>
    <w:rsid w:val="003556CB"/>
    <w:rsid w:val="00363210"/>
    <w:rsid w:val="00364E95"/>
    <w:rsid w:val="003745B0"/>
    <w:rsid w:val="00374B30"/>
    <w:rsid w:val="003832AB"/>
    <w:rsid w:val="003A6183"/>
    <w:rsid w:val="003D1359"/>
    <w:rsid w:val="003D75FC"/>
    <w:rsid w:val="003F2D84"/>
    <w:rsid w:val="003F7812"/>
    <w:rsid w:val="00407533"/>
    <w:rsid w:val="00413160"/>
    <w:rsid w:val="00417DD1"/>
    <w:rsid w:val="004264F7"/>
    <w:rsid w:val="00447C01"/>
    <w:rsid w:val="00447CD7"/>
    <w:rsid w:val="0046345F"/>
    <w:rsid w:val="00470275"/>
    <w:rsid w:val="004743E3"/>
    <w:rsid w:val="00494493"/>
    <w:rsid w:val="00497413"/>
    <w:rsid w:val="004A2508"/>
    <w:rsid w:val="004A44D5"/>
    <w:rsid w:val="004D6798"/>
    <w:rsid w:val="004F63CF"/>
    <w:rsid w:val="00504822"/>
    <w:rsid w:val="00504D56"/>
    <w:rsid w:val="00505161"/>
    <w:rsid w:val="0050566C"/>
    <w:rsid w:val="00512C95"/>
    <w:rsid w:val="0051327D"/>
    <w:rsid w:val="0054727D"/>
    <w:rsid w:val="00552532"/>
    <w:rsid w:val="00561A7A"/>
    <w:rsid w:val="005730B8"/>
    <w:rsid w:val="005860DE"/>
    <w:rsid w:val="00593DB1"/>
    <w:rsid w:val="005B2C27"/>
    <w:rsid w:val="005C1BDA"/>
    <w:rsid w:val="005D0298"/>
    <w:rsid w:val="005D4F3E"/>
    <w:rsid w:val="005D7FCF"/>
    <w:rsid w:val="005E7EEA"/>
    <w:rsid w:val="0061392B"/>
    <w:rsid w:val="00616852"/>
    <w:rsid w:val="006202BC"/>
    <w:rsid w:val="00632CE4"/>
    <w:rsid w:val="006360CD"/>
    <w:rsid w:val="00636A52"/>
    <w:rsid w:val="006466AB"/>
    <w:rsid w:val="006500E9"/>
    <w:rsid w:val="00661B59"/>
    <w:rsid w:val="006657EB"/>
    <w:rsid w:val="0068578E"/>
    <w:rsid w:val="00692368"/>
    <w:rsid w:val="006D7588"/>
    <w:rsid w:val="006E7C98"/>
    <w:rsid w:val="006F1D2C"/>
    <w:rsid w:val="006F78A4"/>
    <w:rsid w:val="00700860"/>
    <w:rsid w:val="00706717"/>
    <w:rsid w:val="00730500"/>
    <w:rsid w:val="007815B6"/>
    <w:rsid w:val="007B37EB"/>
    <w:rsid w:val="007D7909"/>
    <w:rsid w:val="00820719"/>
    <w:rsid w:val="0082150C"/>
    <w:rsid w:val="00827815"/>
    <w:rsid w:val="0085116F"/>
    <w:rsid w:val="008554EA"/>
    <w:rsid w:val="00865D15"/>
    <w:rsid w:val="00866D0F"/>
    <w:rsid w:val="00886C3B"/>
    <w:rsid w:val="00890752"/>
    <w:rsid w:val="0089109F"/>
    <w:rsid w:val="00895DAD"/>
    <w:rsid w:val="008A15E4"/>
    <w:rsid w:val="008A436A"/>
    <w:rsid w:val="008E713C"/>
    <w:rsid w:val="008F2B27"/>
    <w:rsid w:val="008F3887"/>
    <w:rsid w:val="008F3ACE"/>
    <w:rsid w:val="008F7F88"/>
    <w:rsid w:val="0090534F"/>
    <w:rsid w:val="009264EB"/>
    <w:rsid w:val="0092689A"/>
    <w:rsid w:val="00943234"/>
    <w:rsid w:val="00947E2C"/>
    <w:rsid w:val="00962CD6"/>
    <w:rsid w:val="00966EF1"/>
    <w:rsid w:val="00975DE9"/>
    <w:rsid w:val="00981D39"/>
    <w:rsid w:val="00984481"/>
    <w:rsid w:val="009A67AD"/>
    <w:rsid w:val="009B6961"/>
    <w:rsid w:val="009C6060"/>
    <w:rsid w:val="009D5D41"/>
    <w:rsid w:val="009E50E7"/>
    <w:rsid w:val="009F7C4E"/>
    <w:rsid w:val="00A0412C"/>
    <w:rsid w:val="00A06703"/>
    <w:rsid w:val="00A07B81"/>
    <w:rsid w:val="00A370CD"/>
    <w:rsid w:val="00A3737D"/>
    <w:rsid w:val="00A453F4"/>
    <w:rsid w:val="00A47B9B"/>
    <w:rsid w:val="00A60BDB"/>
    <w:rsid w:val="00A7077B"/>
    <w:rsid w:val="00A76FCF"/>
    <w:rsid w:val="00A86D62"/>
    <w:rsid w:val="00AA3C02"/>
    <w:rsid w:val="00AA6435"/>
    <w:rsid w:val="00AC55C7"/>
    <w:rsid w:val="00AC756F"/>
    <w:rsid w:val="00AE16B4"/>
    <w:rsid w:val="00B10879"/>
    <w:rsid w:val="00B109BB"/>
    <w:rsid w:val="00B30CD2"/>
    <w:rsid w:val="00B41EF7"/>
    <w:rsid w:val="00B42AF5"/>
    <w:rsid w:val="00B5583F"/>
    <w:rsid w:val="00B56ABF"/>
    <w:rsid w:val="00B60C3A"/>
    <w:rsid w:val="00B71E50"/>
    <w:rsid w:val="00B7336C"/>
    <w:rsid w:val="00B77992"/>
    <w:rsid w:val="00B920D9"/>
    <w:rsid w:val="00B97360"/>
    <w:rsid w:val="00BA4EBB"/>
    <w:rsid w:val="00BA7289"/>
    <w:rsid w:val="00BB4501"/>
    <w:rsid w:val="00BC6BB3"/>
    <w:rsid w:val="00C20324"/>
    <w:rsid w:val="00C23112"/>
    <w:rsid w:val="00C300CD"/>
    <w:rsid w:val="00C34124"/>
    <w:rsid w:val="00C4129C"/>
    <w:rsid w:val="00C464A5"/>
    <w:rsid w:val="00C5631B"/>
    <w:rsid w:val="00C83A1A"/>
    <w:rsid w:val="00CC1D02"/>
    <w:rsid w:val="00CF5C6B"/>
    <w:rsid w:val="00D001DC"/>
    <w:rsid w:val="00D20B80"/>
    <w:rsid w:val="00D2219B"/>
    <w:rsid w:val="00D30243"/>
    <w:rsid w:val="00D43E7D"/>
    <w:rsid w:val="00D5420A"/>
    <w:rsid w:val="00D61E5B"/>
    <w:rsid w:val="00D61ECC"/>
    <w:rsid w:val="00D6581D"/>
    <w:rsid w:val="00D6641A"/>
    <w:rsid w:val="00D6785D"/>
    <w:rsid w:val="00D76B7A"/>
    <w:rsid w:val="00D77A4D"/>
    <w:rsid w:val="00D96E20"/>
    <w:rsid w:val="00DC385F"/>
    <w:rsid w:val="00DC5545"/>
    <w:rsid w:val="00DE0E7A"/>
    <w:rsid w:val="00E02A6E"/>
    <w:rsid w:val="00E03190"/>
    <w:rsid w:val="00E061D8"/>
    <w:rsid w:val="00E1107A"/>
    <w:rsid w:val="00E262A5"/>
    <w:rsid w:val="00E57249"/>
    <w:rsid w:val="00E77256"/>
    <w:rsid w:val="00E7753F"/>
    <w:rsid w:val="00E840AC"/>
    <w:rsid w:val="00E85ABD"/>
    <w:rsid w:val="00E950BF"/>
    <w:rsid w:val="00ED2F0D"/>
    <w:rsid w:val="00ED6AAF"/>
    <w:rsid w:val="00EE51EE"/>
    <w:rsid w:val="00F110E1"/>
    <w:rsid w:val="00F17D1D"/>
    <w:rsid w:val="00F25B35"/>
    <w:rsid w:val="00F332C6"/>
    <w:rsid w:val="00F34060"/>
    <w:rsid w:val="00F342E4"/>
    <w:rsid w:val="00F357AD"/>
    <w:rsid w:val="00F41280"/>
    <w:rsid w:val="00F54334"/>
    <w:rsid w:val="00F544AC"/>
    <w:rsid w:val="00F8603B"/>
    <w:rsid w:val="00F87070"/>
    <w:rsid w:val="00F95CCF"/>
    <w:rsid w:val="00F965BC"/>
    <w:rsid w:val="00FC395B"/>
    <w:rsid w:val="00FE131A"/>
    <w:rsid w:val="00FF15AA"/>
    <w:rsid w:val="00FF65E6"/>
    <w:rsid w:val="01F65F44"/>
    <w:rsid w:val="02907ECF"/>
    <w:rsid w:val="04533824"/>
    <w:rsid w:val="0A4A2C4D"/>
    <w:rsid w:val="0E0A3916"/>
    <w:rsid w:val="11953E67"/>
    <w:rsid w:val="14B35F82"/>
    <w:rsid w:val="19154BE3"/>
    <w:rsid w:val="196A5FC1"/>
    <w:rsid w:val="2B467C0B"/>
    <w:rsid w:val="2FC751F2"/>
    <w:rsid w:val="32134DB6"/>
    <w:rsid w:val="38FE7E8D"/>
    <w:rsid w:val="44D04DF5"/>
    <w:rsid w:val="4D4B18DC"/>
    <w:rsid w:val="51A2607D"/>
    <w:rsid w:val="5B9122AA"/>
    <w:rsid w:val="61805C84"/>
    <w:rsid w:val="624E1B54"/>
    <w:rsid w:val="62624078"/>
    <w:rsid w:val="69AE3CF0"/>
    <w:rsid w:val="6C352415"/>
    <w:rsid w:val="6CCB038A"/>
    <w:rsid w:val="6DD808C7"/>
    <w:rsid w:val="77501105"/>
    <w:rsid w:val="7A5A304A"/>
    <w:rsid w:val="7AA26CC1"/>
    <w:rsid w:val="7D8D5E12"/>
    <w:rsid w:val="7FD562CA"/>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黑体"/>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uiPriority w:val="99"/>
    <w:tblPr>
      <w:tblStyle w:val="7"/>
      <w:tblLayout w:type="fixed"/>
      <w:tblCellMar>
        <w:top w:w="0" w:type="dxa"/>
        <w:left w:w="108" w:type="dxa"/>
        <w:bottom w:w="0" w:type="dxa"/>
        <w:right w:w="108" w:type="dxa"/>
      </w:tblCellMar>
    </w:tblPr>
    <w:tcPr>
      <w:textDirection w:val="lrTb"/>
    </w:tcPr>
  </w:style>
  <w:style w:type="paragraph" w:styleId="2">
    <w:name w:val="Balloon Text"/>
    <w:basedOn w:val="1"/>
    <w:link w:val="13"/>
    <w:unhideWhenUsed/>
    <w:qFormat/>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6">
    <w:name w:val="page number"/>
    <w:basedOn w:val="5"/>
    <w:unhideWhenUsed/>
    <w:uiPriority w:val="0"/>
    <w:rPr/>
  </w:style>
  <w:style w:type="table" w:styleId="8">
    <w:name w:val="Table Grid"/>
    <w:basedOn w:val="7"/>
    <w:qFormat/>
    <w:uiPriority w:val="39"/>
    <w:pPr/>
    <w:tblPr>
      <w:tblStyle w:val="7"/>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tcPr>
      <w:textDirection w:val="lrTb"/>
    </w:tcPr>
  </w:style>
  <w:style w:type="paragraph" w:customStyle="1" w:styleId="9">
    <w:name w:val="List Paragraph"/>
    <w:basedOn w:val="1"/>
    <w:qFormat/>
    <w:uiPriority w:val="34"/>
    <w:pPr>
      <w:ind w:firstLine="420" w:firstLineChars="200"/>
    </w:pPr>
  </w:style>
  <w:style w:type="paragraph" w:customStyle="1" w:styleId="10">
    <w:name w:val="No Spacing"/>
    <w:qFormat/>
    <w:uiPriority w:val="1"/>
    <w:pPr>
      <w:widowControl w:val="0"/>
      <w:jc w:val="both"/>
    </w:pPr>
    <w:rPr>
      <w:rFonts w:ascii="等线" w:hAnsi="等线" w:eastAsia="等线" w:cs="黑体"/>
      <w:kern w:val="2"/>
      <w:sz w:val="21"/>
      <w:szCs w:val="22"/>
      <w:lang w:val="en-US" w:eastAsia="zh-CN" w:bidi="ar-SA"/>
    </w:rPr>
  </w:style>
  <w:style w:type="character" w:customStyle="1" w:styleId="11">
    <w:name w:val="页眉 字符"/>
    <w:basedOn w:val="5"/>
    <w:link w:val="4"/>
    <w:qFormat/>
    <w:uiPriority w:val="99"/>
    <w:rPr>
      <w:sz w:val="18"/>
      <w:szCs w:val="18"/>
    </w:rPr>
  </w:style>
  <w:style w:type="character" w:customStyle="1" w:styleId="12">
    <w:name w:val="页脚 字符"/>
    <w:basedOn w:val="5"/>
    <w:link w:val="3"/>
    <w:qFormat/>
    <w:uiPriority w:val="99"/>
    <w:rPr>
      <w:sz w:val="18"/>
      <w:szCs w:val="18"/>
    </w:rPr>
  </w:style>
  <w:style w:type="character" w:customStyle="1" w:styleId="13">
    <w:name w:val="批注框文本 字符"/>
    <w:basedOn w:val="5"/>
    <w:link w:val="2"/>
    <w:semiHidden/>
    <w:qFormat/>
    <w:uiPriority w:val="99"/>
    <w:rPr>
      <w:sz w:val="18"/>
      <w:szCs w:val="18"/>
    </w:rPr>
  </w:style>
  <w:style w:type="character" w:customStyle="1" w:styleId="14">
    <w:name w:val="页码 New"/>
    <w:basedOn w:val="5"/>
    <w:qFormat/>
    <w:uiPriority w:val="0"/>
    <w:rPr/>
  </w:style>
  <w:style w:type="paragraph" w:customStyle="1" w:styleId="15">
    <w:name w:val="正文 New"/>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0" Type="http://schemas.openxmlformats.org/officeDocument/2006/relationships/numbering" Target="numbering.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1217</Words>
  <Characters>6942</Characters>
  <Lines>57</Lines>
  <Paragraphs>16</Paragraphs>
  <TotalTime>0</TotalTime>
  <ScaleCrop>false</ScaleCrop>
  <LinksUpToDate>false</LinksUpToDate>
  <CharactersWithSpaces>0</CharactersWithSpaces>
  <Application>WPS Office 专业版_9.1.0.4833_{F1E327BC-269C-435d-A152-05C5408002CA}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2020-07-24T03:30:00Z</dcterms:created>
  <dc:creator>于 宗宝</dc:creator>
  <cp:lastModifiedBy>lk</cp:lastModifiedBy>
  <cp:lastPrinted>2020-09-04T01:08:00Z</cp:lastPrinted>
  <dcterms:modified xsi:type="dcterms:W3CDTF">2020-09-04T03:05:15Z</dcterms:modified>
  <dc:title>辽就﹝2020﹞61号</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2052-9.1.0.4833</vt:lpwstr>
  </property>
</Properties>
</file>